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66215C22" w14:textId="273B8AF1" w:rsidR="002F2D30" w:rsidRPr="00716162" w:rsidRDefault="0049289C" w:rsidP="002F2D30">
            <w:pPr>
              <w:pStyle w:val="ListParagraph"/>
              <w:numPr>
                <w:ilvl w:val="0"/>
                <w:numId w:val="86"/>
              </w:numPr>
              <w:rPr>
                <w:rFonts w:cs="Times New Roman"/>
                <w:szCs w:val="24"/>
                <w:u w:val="single"/>
              </w:rPr>
            </w:pPr>
            <w:r w:rsidRPr="00716162">
              <w:rPr>
                <w:rFonts w:cs="Times New Roman"/>
                <w:szCs w:val="24"/>
                <w:u w:val="single"/>
              </w:rPr>
              <w:t>The Claimants</w:t>
            </w:r>
            <w:r w:rsidRPr="00716162">
              <w:rPr>
                <w:rFonts w:cs="Times New Roman"/>
                <w:szCs w:val="24"/>
                <w:u w:val="single"/>
              </w:rPr>
              <w:t xml:space="preserve"> </w:t>
            </w:r>
            <w:r w:rsidR="002F2D30" w:rsidRPr="00716162">
              <w:rPr>
                <w:rFonts w:cs="Times New Roman"/>
                <w:szCs w:val="24"/>
                <w:u w:val="single"/>
              </w:rPr>
              <w:t xml:space="preserve">Career Aspirations </w:t>
            </w:r>
            <w:r w:rsidRPr="00716162">
              <w:rPr>
                <w:rFonts w:cs="Times New Roman"/>
                <w:szCs w:val="24"/>
                <w:u w:val="single"/>
              </w:rPr>
              <w:t xml:space="preserve">Involving </w:t>
            </w:r>
            <w:r w:rsidR="004C0D69" w:rsidRPr="00716162">
              <w:rPr>
                <w:rFonts w:cs="Times New Roman"/>
                <w:szCs w:val="24"/>
                <w:u w:val="single"/>
              </w:rPr>
              <w:t xml:space="preserve">the </w:t>
            </w:r>
            <w:r w:rsidR="002F2D30" w:rsidRPr="00716162">
              <w:rPr>
                <w:rFonts w:cs="Times New Roman"/>
                <w:szCs w:val="24"/>
                <w:u w:val="single"/>
              </w:rPr>
              <w:t xml:space="preserve">Enfield Council </w:t>
            </w:r>
            <w:r w:rsidR="004C0D69" w:rsidRPr="00716162">
              <w:rPr>
                <w:rFonts w:cs="Times New Roman"/>
                <w:szCs w:val="24"/>
                <w:u w:val="single"/>
              </w:rPr>
              <w:t xml:space="preserve">&amp; </w:t>
            </w:r>
            <w:r w:rsidR="002F2D30" w:rsidRPr="00716162">
              <w:rPr>
                <w:rFonts w:cs="Times New Roman"/>
                <w:szCs w:val="24"/>
                <w:u w:val="single"/>
              </w:rPr>
              <w:t>The Metropolitan Police Force</w:t>
            </w:r>
            <w:r w:rsidR="004C0D69" w:rsidRPr="00716162">
              <w:rPr>
                <w:rFonts w:eastAsia="Arial" w:cs="Times New Roman"/>
                <w:kern w:val="0"/>
                <w:szCs w:val="24"/>
                <w:lang w:eastAsia="en-GB" w:bidi="en-GB"/>
                <w14:ligatures w14:val="none"/>
              </w:rPr>
              <w:t>……………………..………………..……….………    3</w:t>
            </w:r>
          </w:p>
          <w:p w14:paraId="28D877F8" w14:textId="5C0AE1CC" w:rsidR="002F2D30" w:rsidRPr="00716162" w:rsidRDefault="0049289C" w:rsidP="002F2D30">
            <w:pPr>
              <w:pStyle w:val="ListParagraph"/>
              <w:numPr>
                <w:ilvl w:val="0"/>
                <w:numId w:val="86"/>
              </w:numPr>
              <w:rPr>
                <w:rFonts w:cs="Times New Roman"/>
                <w:szCs w:val="24"/>
                <w:u w:val="single"/>
              </w:rPr>
            </w:pPr>
            <w:r w:rsidRPr="00716162">
              <w:rPr>
                <w:rFonts w:cs="Times New Roman"/>
                <w:szCs w:val="24"/>
                <w:u w:val="single"/>
              </w:rPr>
              <w:lastRenderedPageBreak/>
              <w:t xml:space="preserve">The Claimants </w:t>
            </w:r>
            <w:r w:rsidR="002F2D30" w:rsidRPr="00716162">
              <w:rPr>
                <w:rFonts w:cs="Times New Roman"/>
                <w:szCs w:val="24"/>
                <w:u w:val="single"/>
              </w:rPr>
              <w:t xml:space="preserve">Collaboration </w:t>
            </w:r>
            <w:r w:rsidR="004C0D69" w:rsidRPr="00716162">
              <w:rPr>
                <w:rFonts w:cs="Times New Roman"/>
                <w:szCs w:val="24"/>
                <w:u w:val="single"/>
              </w:rPr>
              <w:t xml:space="preserve">and </w:t>
            </w:r>
            <w:r w:rsidR="002F2D30" w:rsidRPr="00716162">
              <w:rPr>
                <w:rFonts w:cs="Times New Roman"/>
                <w:szCs w:val="24"/>
                <w:u w:val="single"/>
              </w:rPr>
              <w:t xml:space="preserve">Engagement </w:t>
            </w:r>
            <w:r w:rsidR="004C0D69" w:rsidRPr="00716162">
              <w:rPr>
                <w:rFonts w:cs="Times New Roman"/>
                <w:szCs w:val="24"/>
                <w:u w:val="single"/>
              </w:rPr>
              <w:t xml:space="preserve">with </w:t>
            </w:r>
            <w:r w:rsidR="002F2D30" w:rsidRPr="00716162">
              <w:rPr>
                <w:rFonts w:cs="Times New Roman"/>
                <w:szCs w:val="24"/>
                <w:u w:val="single"/>
              </w:rPr>
              <w:t xml:space="preserve">The Enfield Council </w:t>
            </w:r>
            <w:r w:rsidR="004C0D69" w:rsidRPr="00716162">
              <w:rPr>
                <w:rFonts w:cs="Times New Roman"/>
                <w:szCs w:val="24"/>
                <w:u w:val="single"/>
              </w:rPr>
              <w:t xml:space="preserve">&amp; </w:t>
            </w:r>
            <w:r w:rsidR="002F2D30" w:rsidRPr="00716162">
              <w:rPr>
                <w:rFonts w:cs="Times New Roman"/>
                <w:szCs w:val="24"/>
                <w:u w:val="single"/>
              </w:rPr>
              <w:t>The Metropolitan Police Force</w:t>
            </w:r>
            <w:r w:rsidR="004C0D69" w:rsidRPr="00716162">
              <w:rPr>
                <w:rFonts w:eastAsia="Arial" w:cs="Times New Roman"/>
                <w:kern w:val="0"/>
                <w:szCs w:val="24"/>
                <w:lang w:eastAsia="en-GB" w:bidi="en-GB"/>
                <w14:ligatures w14:val="none"/>
              </w:rPr>
              <w:t>…….………...…………………………………..……    3</w:t>
            </w:r>
          </w:p>
          <w:p w14:paraId="137F22FD" w14:textId="1C961B8B" w:rsidR="002F2D30" w:rsidRPr="00716162" w:rsidRDefault="0049289C" w:rsidP="002F2D30">
            <w:pPr>
              <w:pStyle w:val="ListParagraph"/>
              <w:numPr>
                <w:ilvl w:val="0"/>
                <w:numId w:val="86"/>
              </w:numPr>
              <w:rPr>
                <w:rFonts w:cs="Times New Roman"/>
                <w:szCs w:val="24"/>
                <w:u w:val="single"/>
              </w:rPr>
            </w:pPr>
            <w:r w:rsidRPr="00716162">
              <w:rPr>
                <w:rFonts w:cs="Times New Roman"/>
                <w:szCs w:val="24"/>
                <w:u w:val="single"/>
              </w:rPr>
              <w:t xml:space="preserve">The Claimants </w:t>
            </w:r>
            <w:r w:rsidR="002F2D30" w:rsidRPr="00716162">
              <w:rPr>
                <w:rFonts w:cs="Times New Roman"/>
                <w:szCs w:val="24"/>
                <w:u w:val="single"/>
              </w:rPr>
              <w:t>Role</w:t>
            </w:r>
            <w:r w:rsidRPr="00716162">
              <w:rPr>
                <w:rFonts w:cs="Times New Roman"/>
                <w:szCs w:val="24"/>
                <w:u w:val="single"/>
              </w:rPr>
              <w:t>s</w:t>
            </w:r>
            <w:r w:rsidR="002F2D30" w:rsidRPr="00716162">
              <w:rPr>
                <w:rFonts w:cs="Times New Roman"/>
                <w:szCs w:val="24"/>
                <w:u w:val="single"/>
              </w:rPr>
              <w:t xml:space="preserve"> </w:t>
            </w:r>
            <w:r w:rsidR="004C0D69" w:rsidRPr="00716162">
              <w:rPr>
                <w:rFonts w:cs="Times New Roman"/>
                <w:szCs w:val="24"/>
                <w:u w:val="single"/>
              </w:rPr>
              <w:t xml:space="preserve">at A </w:t>
            </w:r>
            <w:r w:rsidR="002F2D30" w:rsidRPr="00716162">
              <w:rPr>
                <w:rFonts w:cs="Times New Roman"/>
                <w:szCs w:val="24"/>
                <w:u w:val="single"/>
              </w:rPr>
              <w:t xml:space="preserve">Community Hall </w:t>
            </w:r>
            <w:r w:rsidR="004C0D69" w:rsidRPr="00716162">
              <w:rPr>
                <w:rFonts w:cs="Times New Roman"/>
                <w:szCs w:val="24"/>
                <w:u w:val="single"/>
              </w:rPr>
              <w:t xml:space="preserve">Demonstrates His </w:t>
            </w:r>
            <w:r w:rsidR="002F2D30" w:rsidRPr="00716162">
              <w:rPr>
                <w:rFonts w:cs="Times New Roman"/>
                <w:szCs w:val="24"/>
                <w:u w:val="single"/>
              </w:rPr>
              <w:t>Trustworthiness</w:t>
            </w:r>
            <w:r w:rsidR="004C0D69" w:rsidRPr="00716162">
              <w:t>……………………………………………………………….</w:t>
            </w:r>
            <w:r w:rsidR="004C0D69" w:rsidRPr="00716162">
              <w:rPr>
                <w:rFonts w:eastAsia="Arial" w:cs="Times New Roman"/>
                <w:kern w:val="0"/>
                <w:szCs w:val="24"/>
                <w:lang w:eastAsia="en-GB" w:bidi="en-GB"/>
                <w14:ligatures w14:val="none"/>
              </w:rPr>
              <w:t>…    3</w:t>
            </w:r>
          </w:p>
          <w:p w14:paraId="0F6DF8BD" w14:textId="1ED70886" w:rsidR="002F2D30" w:rsidRPr="00716162" w:rsidRDefault="0049289C" w:rsidP="002F2D30">
            <w:pPr>
              <w:pStyle w:val="ListParagraph"/>
              <w:numPr>
                <w:ilvl w:val="0"/>
                <w:numId w:val="86"/>
              </w:numPr>
              <w:rPr>
                <w:rFonts w:cs="Times New Roman"/>
                <w:szCs w:val="24"/>
                <w:u w:val="single"/>
              </w:rPr>
            </w:pPr>
            <w:r w:rsidRPr="00716162">
              <w:rPr>
                <w:rFonts w:cs="Times New Roman"/>
                <w:szCs w:val="24"/>
                <w:u w:val="single"/>
              </w:rPr>
              <w:t xml:space="preserve">Damage </w:t>
            </w:r>
            <w:r w:rsidR="004C0D69" w:rsidRPr="00716162">
              <w:rPr>
                <w:rFonts w:cs="Times New Roman"/>
                <w:szCs w:val="24"/>
                <w:u w:val="single"/>
              </w:rPr>
              <w:t>To the</w:t>
            </w:r>
            <w:r w:rsidRPr="00716162">
              <w:rPr>
                <w:rFonts w:cs="Times New Roman"/>
                <w:szCs w:val="24"/>
                <w:u w:val="single"/>
              </w:rPr>
              <w:t xml:space="preserve"> Claimants</w:t>
            </w:r>
            <w:r w:rsidRPr="00716162">
              <w:rPr>
                <w:rFonts w:cs="Times New Roman"/>
                <w:szCs w:val="24"/>
                <w:u w:val="single"/>
              </w:rPr>
              <w:t xml:space="preserve"> </w:t>
            </w:r>
            <w:r w:rsidR="002F2D30" w:rsidRPr="00716162">
              <w:rPr>
                <w:rFonts w:cs="Times New Roman"/>
                <w:szCs w:val="24"/>
                <w:u w:val="single"/>
              </w:rPr>
              <w:t xml:space="preserve">Business Reputation </w:t>
            </w:r>
            <w:r w:rsidR="00716162" w:rsidRPr="00716162">
              <w:rPr>
                <w:rFonts w:cs="Times New Roman"/>
                <w:szCs w:val="24"/>
                <w:u w:val="single"/>
              </w:rPr>
              <w:t xml:space="preserve">Caused by Failures of Staffs  </w:t>
            </w:r>
            <w:r w:rsidR="002F2D30" w:rsidRPr="00716162">
              <w:rPr>
                <w:rFonts w:cs="Times New Roman"/>
                <w:szCs w:val="24"/>
                <w:u w:val="single"/>
              </w:rPr>
              <w:t>Regulatory Compliance</w:t>
            </w:r>
            <w:r w:rsidR="00716162" w:rsidRPr="00716162">
              <w:rPr>
                <w:rFonts w:eastAsia="Arial" w:cs="Times New Roman"/>
                <w:kern w:val="0"/>
                <w:szCs w:val="24"/>
                <w:lang w:eastAsia="en-GB" w:bidi="en-GB"/>
                <w14:ligatures w14:val="none"/>
              </w:rPr>
              <w:t>……………………………………...………………..</w:t>
            </w:r>
            <w:r w:rsidR="004C0D69" w:rsidRPr="00716162">
              <w:rPr>
                <w:rFonts w:eastAsia="Arial" w:cs="Times New Roman"/>
                <w:kern w:val="0"/>
                <w:szCs w:val="24"/>
                <w:lang w:eastAsia="en-GB" w:bidi="en-GB"/>
                <w14:ligatures w14:val="none"/>
              </w:rPr>
              <w:t>…    3</w:t>
            </w:r>
          </w:p>
          <w:p w14:paraId="08EC2050" w14:textId="17FC5E64" w:rsidR="002F2D30" w:rsidRPr="00716162" w:rsidRDefault="002F2D30" w:rsidP="002F2D30">
            <w:pPr>
              <w:pStyle w:val="ListParagraph"/>
              <w:numPr>
                <w:ilvl w:val="0"/>
                <w:numId w:val="86"/>
              </w:numPr>
              <w:rPr>
                <w:rFonts w:cs="Times New Roman"/>
                <w:szCs w:val="24"/>
                <w:u w:val="single"/>
              </w:rPr>
            </w:pPr>
            <w:r w:rsidRPr="00716162">
              <w:rPr>
                <w:rFonts w:cs="Times New Roman"/>
                <w:szCs w:val="24"/>
                <w:u w:val="single"/>
              </w:rPr>
              <w:t xml:space="preserve">Legal Breaches </w:t>
            </w:r>
            <w:r w:rsidR="004C0D69" w:rsidRPr="00716162">
              <w:rPr>
                <w:rFonts w:cs="Times New Roman"/>
                <w:szCs w:val="24"/>
                <w:u w:val="single"/>
              </w:rPr>
              <w:t xml:space="preserve">and </w:t>
            </w:r>
            <w:r w:rsidRPr="00716162">
              <w:rPr>
                <w:rFonts w:cs="Times New Roman"/>
                <w:szCs w:val="24"/>
                <w:u w:val="single"/>
              </w:rPr>
              <w:t>Consequences</w:t>
            </w:r>
            <w:r w:rsidR="004C0D69" w:rsidRPr="00716162">
              <w:rPr>
                <w:rFonts w:eastAsia="Arial" w:cs="Times New Roman"/>
                <w:kern w:val="0"/>
                <w:szCs w:val="24"/>
                <w:lang w:eastAsia="en-GB" w:bidi="en-GB"/>
                <w14:ligatures w14:val="none"/>
              </w:rPr>
              <w:t>…………................................……...….……    3</w:t>
            </w:r>
          </w:p>
          <w:p w14:paraId="65A052A2" w14:textId="5C0C8EF2" w:rsidR="002F2D30" w:rsidRPr="00716162" w:rsidRDefault="0049289C" w:rsidP="002F2D30">
            <w:pPr>
              <w:pStyle w:val="ListParagraph"/>
              <w:numPr>
                <w:ilvl w:val="0"/>
                <w:numId w:val="86"/>
              </w:numPr>
              <w:rPr>
                <w:rFonts w:cs="Times New Roman"/>
                <w:szCs w:val="24"/>
                <w:u w:val="single"/>
              </w:rPr>
            </w:pPr>
            <w:r w:rsidRPr="00716162">
              <w:rPr>
                <w:rFonts w:cs="Times New Roman"/>
                <w:szCs w:val="24"/>
                <w:u w:val="single"/>
              </w:rPr>
              <w:t>The Claimants</w:t>
            </w:r>
            <w:r w:rsidRPr="00716162">
              <w:rPr>
                <w:rFonts w:cs="Times New Roman"/>
                <w:szCs w:val="24"/>
                <w:u w:val="single"/>
              </w:rPr>
              <w:t xml:space="preserve"> </w:t>
            </w:r>
            <w:r w:rsidR="002F2D30" w:rsidRPr="00716162">
              <w:rPr>
                <w:rFonts w:cs="Times New Roman"/>
                <w:szCs w:val="24"/>
                <w:u w:val="single"/>
              </w:rPr>
              <w:t xml:space="preserve">Sufferings </w:t>
            </w:r>
            <w:r w:rsidR="004C0D69" w:rsidRPr="00716162">
              <w:rPr>
                <w:rFonts w:cs="Times New Roman"/>
                <w:szCs w:val="24"/>
                <w:u w:val="single"/>
              </w:rPr>
              <w:t xml:space="preserve">Caused by The </w:t>
            </w:r>
            <w:r w:rsidRPr="00716162">
              <w:rPr>
                <w:rFonts w:cs="Times New Roman"/>
                <w:szCs w:val="24"/>
                <w:u w:val="single"/>
              </w:rPr>
              <w:t xml:space="preserve">Accused </w:t>
            </w:r>
            <w:r w:rsidR="002F2D30" w:rsidRPr="00716162">
              <w:rPr>
                <w:rFonts w:cs="Times New Roman"/>
                <w:szCs w:val="24"/>
                <w:u w:val="single"/>
              </w:rPr>
              <w:t>Unjust</w:t>
            </w:r>
            <w:r w:rsidRPr="00716162">
              <w:rPr>
                <w:rFonts w:cs="Times New Roman"/>
                <w:szCs w:val="24"/>
                <w:u w:val="single"/>
              </w:rPr>
              <w:t xml:space="preserve"> Actions </w:t>
            </w:r>
            <w:r w:rsidR="004C0D69" w:rsidRPr="00716162">
              <w:rPr>
                <w:rFonts w:cs="Times New Roman"/>
                <w:szCs w:val="24"/>
                <w:u w:val="single"/>
              </w:rPr>
              <w:t xml:space="preserve">&amp; Their </w:t>
            </w:r>
            <w:r w:rsidR="002F2D30" w:rsidRPr="00716162">
              <w:rPr>
                <w:rFonts w:cs="Times New Roman"/>
                <w:szCs w:val="24"/>
                <w:u w:val="single"/>
              </w:rPr>
              <w:t>Consequences</w:t>
            </w:r>
            <w:r w:rsidR="004C0D69" w:rsidRPr="00716162">
              <w:t>………………………………………………………………….…</w:t>
            </w:r>
            <w:r w:rsidR="004C0D69" w:rsidRPr="00716162">
              <w:rPr>
                <w:rFonts w:eastAsia="Arial" w:cs="Times New Roman"/>
                <w:kern w:val="0"/>
                <w:szCs w:val="24"/>
                <w:lang w:eastAsia="en-GB" w:bidi="en-GB"/>
                <w14:ligatures w14:val="none"/>
              </w:rPr>
              <w:t xml:space="preserve">    3</w:t>
            </w:r>
          </w:p>
          <w:p w14:paraId="528F0C2F" w14:textId="76FB2B95" w:rsidR="002F2D30" w:rsidRPr="00716162" w:rsidRDefault="002F2D30" w:rsidP="002F2D30">
            <w:pPr>
              <w:pStyle w:val="ListParagraph"/>
              <w:numPr>
                <w:ilvl w:val="0"/>
                <w:numId w:val="86"/>
              </w:numPr>
              <w:rPr>
                <w:rFonts w:cs="Times New Roman"/>
                <w:szCs w:val="24"/>
                <w:u w:val="single"/>
              </w:rPr>
            </w:pPr>
            <w:r w:rsidRPr="00716162">
              <w:rPr>
                <w:rFonts w:cs="Times New Roman"/>
                <w:szCs w:val="24"/>
                <w:u w:val="single"/>
              </w:rPr>
              <w:t>Payouts</w:t>
            </w:r>
            <w:r w:rsidR="004C0D69" w:rsidRPr="00716162">
              <w:rPr>
                <w:rFonts w:cs="Times New Roman"/>
                <w:szCs w:val="24"/>
                <w:u w:val="single"/>
              </w:rPr>
              <w:t xml:space="preserve">, </w:t>
            </w:r>
            <w:r w:rsidRPr="00716162">
              <w:rPr>
                <w:rFonts w:cs="Times New Roman"/>
                <w:szCs w:val="24"/>
                <w:u w:val="single"/>
              </w:rPr>
              <w:t>Legal Recourse</w:t>
            </w:r>
            <w:r w:rsidR="004C0D69" w:rsidRPr="00716162">
              <w:rPr>
                <w:rFonts w:cs="Times New Roman"/>
                <w:szCs w:val="24"/>
                <w:u w:val="single"/>
              </w:rPr>
              <w:t xml:space="preserve">, And </w:t>
            </w:r>
            <w:r w:rsidRPr="00716162">
              <w:rPr>
                <w:rFonts w:cs="Times New Roman"/>
                <w:szCs w:val="24"/>
                <w:u w:val="single"/>
              </w:rPr>
              <w:t>Future Implications</w:t>
            </w:r>
            <w:r w:rsidR="0049289C" w:rsidRPr="00716162">
              <w:rPr>
                <w:rFonts w:cs="Times New Roman"/>
                <w:szCs w:val="24"/>
                <w:u w:val="single"/>
              </w:rPr>
              <w:t xml:space="preserve"> </w:t>
            </w:r>
            <w:r w:rsidR="004C0D69" w:rsidRPr="00716162">
              <w:rPr>
                <w:rFonts w:cs="Times New Roman"/>
                <w:szCs w:val="24"/>
                <w:u w:val="single"/>
              </w:rPr>
              <w:t xml:space="preserve">to The </w:t>
            </w:r>
            <w:r w:rsidR="0049289C" w:rsidRPr="00716162">
              <w:rPr>
                <w:rFonts w:cs="Times New Roman"/>
                <w:szCs w:val="24"/>
                <w:u w:val="single"/>
              </w:rPr>
              <w:t xml:space="preserve">Now </w:t>
            </w:r>
            <w:r w:rsidR="004C0D69" w:rsidRPr="00716162">
              <w:rPr>
                <w:rFonts w:cs="Times New Roman"/>
                <w:szCs w:val="24"/>
                <w:u w:val="single"/>
              </w:rPr>
              <w:t xml:space="preserve">the </w:t>
            </w:r>
            <w:r w:rsidR="0049289C" w:rsidRPr="00716162">
              <w:rPr>
                <w:rFonts w:cs="Times New Roman"/>
                <w:szCs w:val="24"/>
                <w:u w:val="single"/>
              </w:rPr>
              <w:t>Claimant</w:t>
            </w:r>
            <w:r w:rsidR="00CC5929" w:rsidRPr="00CC5929">
              <w:t>.</w:t>
            </w:r>
            <w:r w:rsidR="004C0D69" w:rsidRPr="00716162">
              <w:rPr>
                <w:rFonts w:eastAsia="Arial" w:cs="Times New Roman"/>
                <w:kern w:val="0"/>
                <w:szCs w:val="24"/>
                <w:lang w:eastAsia="en-GB" w:bidi="en-GB"/>
                <w14:ligatures w14:val="none"/>
              </w:rPr>
              <w:t xml:space="preserve">… </w:t>
            </w:r>
            <w:r w:rsidRPr="00716162">
              <w:rPr>
                <w:rFonts w:eastAsia="Arial" w:cs="Times New Roman"/>
                <w:kern w:val="0"/>
                <w:szCs w:val="24"/>
                <w:lang w:eastAsia="en-GB" w:bidi="en-GB"/>
                <w14:ligatures w14:val="none"/>
              </w:rPr>
              <w:t xml:space="preserve">   3</w:t>
            </w:r>
          </w:p>
          <w:p w14:paraId="0A589EA3" w14:textId="77777777" w:rsidR="002F2D30" w:rsidRDefault="002F2D30" w:rsidP="001E558F">
            <w:pPr>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D9DC5D9" w14:textId="23FDDE98" w:rsidR="005C20B5" w:rsidRPr="001C7C25" w:rsidRDefault="005C20B5" w:rsidP="005C20B5">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77777777" w:rsidR="001E558F" w:rsidRDefault="001E558F" w:rsidP="001E558F">
            <w:pPr>
              <w:contextualSpacing/>
              <w:rPr>
                <w:rFonts w:cs="Times New Roman"/>
                <w:szCs w:val="24"/>
                <w:u w:val="single"/>
              </w:rPr>
            </w:pPr>
          </w:p>
          <w:p w14:paraId="7438C156" w14:textId="77777777" w:rsidR="001E558F" w:rsidRDefault="001E558F" w:rsidP="001E558F">
            <w:pPr>
              <w:contextualSpacing/>
              <w:rPr>
                <w:rFonts w:cs="Times New Roman"/>
                <w:szCs w:val="24"/>
                <w:u w:val="single"/>
              </w:rPr>
            </w:pPr>
          </w:p>
          <w:p w14:paraId="72777965" w14:textId="77777777" w:rsidR="001E558F" w:rsidRDefault="001E558F" w:rsidP="001E558F">
            <w:pPr>
              <w:contextualSpacing/>
              <w:rPr>
                <w:rFonts w:cs="Times New Roman"/>
                <w:szCs w:val="24"/>
                <w:u w:val="single"/>
              </w:rPr>
            </w:pPr>
          </w:p>
          <w:p w14:paraId="7BC4A773" w14:textId="77777777" w:rsidR="001E558F" w:rsidRDefault="001E558F" w:rsidP="001E558F">
            <w:pPr>
              <w:contextualSpacing/>
              <w:rPr>
                <w:rFonts w:cs="Times New Roman"/>
                <w:szCs w:val="24"/>
                <w:u w:val="single"/>
              </w:rPr>
            </w:pP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77777777" w:rsidR="00FE75B6" w:rsidRPr="001C7C25" w:rsidRDefault="00FE75B6" w:rsidP="00B7230F">
            <w:pPr>
              <w:ind w:left="0" w:firstLine="0"/>
              <w:jc w:val="center"/>
              <w:rPr>
                <w:rFonts w:cs="Times New Roman"/>
                <w:b/>
                <w:bCs/>
                <w:szCs w:val="24"/>
              </w:rPr>
            </w:pP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w:t>
            </w:r>
            <w:r w:rsidRPr="00422C8D">
              <w:rPr>
                <w:rFonts w:cs="Times New Roman"/>
                <w:szCs w:val="24"/>
              </w:rPr>
              <w:lastRenderedPageBreak/>
              <w:t xml:space="preserve">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 xml:space="preserve">address listed above and we are  submitting this insurance claim due to the wrongful and reckless actions of </w:t>
            </w:r>
            <w:r w:rsidRPr="00313BD8">
              <w:rPr>
                <w:rFonts w:cs="Times New Roman"/>
                <w:szCs w:val="24"/>
              </w:rPr>
              <w:lastRenderedPageBreak/>
              <w:t>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lastRenderedPageBreak/>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116E67"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Metropolitan Police Force</w:t>
            </w:r>
            <w:r w:rsidR="00743E79">
              <w:rPr>
                <w:lang w:eastAsia="en-GB"/>
              </w:rPr>
              <w:t xml:space="preserve"> in</w:t>
            </w:r>
            <w:r w:rsidR="00743E79" w:rsidRPr="00743E79">
              <w:rPr>
                <w:color w:val="0000FF"/>
                <w:lang w:eastAsia="en-GB"/>
              </w:rPr>
              <w:t xml:space="preserve"> building a festival</w:t>
            </w:r>
            <w:r w:rsidR="00743E79">
              <w:rPr>
                <w:lang w:eastAsia="en-GB"/>
              </w:rPr>
              <w:t xml:space="preserve"> for all.</w:t>
            </w:r>
          </w:p>
          <w:p w14:paraId="502054CB" w14:textId="374E9440" w:rsidR="00A62228" w:rsidRPr="00116E67" w:rsidRDefault="00A62228" w:rsidP="00D54110">
            <w:pPr>
              <w:pStyle w:val="ListParagraph"/>
              <w:numPr>
                <w:ilvl w:val="0"/>
                <w:numId w:val="95"/>
              </w:numPr>
              <w:rPr>
                <w:lang w:eastAsia="en-GB"/>
              </w:rPr>
            </w:pPr>
            <w:r w:rsidRPr="00116E67">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D54110">
              <w:t xml:space="preserve"> and their funded Asbo application has spoiled theses prospects as of so far.</w:t>
            </w:r>
          </w:p>
          <w:p w14:paraId="0DABC145" w14:textId="77777777" w:rsidR="005B608E" w:rsidRPr="001C7C25" w:rsidRDefault="005B608E" w:rsidP="005B608E">
            <w:pPr>
              <w:pStyle w:val="ListParagraph"/>
              <w:ind w:left="737" w:firstLine="0"/>
              <w:rPr>
                <w:rFonts w:cs="Times New Roman"/>
                <w:szCs w:val="24"/>
                <w:lang w:eastAsia="en-GB"/>
              </w:rPr>
            </w:pPr>
          </w:p>
          <w:p w14:paraId="73EE3370" w14:textId="77777777" w:rsidR="00743E79" w:rsidRDefault="00D54110" w:rsidP="00743E79">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The Claimant's Collaboration and Engagement with The Enfield Council &amp; The Metropolitan Police Force</w:t>
            </w:r>
          </w:p>
          <w:p w14:paraId="0C1941A9" w14:textId="77777777" w:rsidR="00743E79" w:rsidRDefault="00743E79" w:rsidP="00743E79">
            <w:pPr>
              <w:pStyle w:val="ListParagraph"/>
              <w:numPr>
                <w:ilvl w:val="0"/>
                <w:numId w:val="95"/>
              </w:numPr>
              <w:rPr>
                <w:lang w:eastAsia="en-GB"/>
              </w:rPr>
            </w:pPr>
            <w:r w:rsidRPr="00116E67">
              <w:rPr>
                <w:lang w:eastAsia="en-GB"/>
              </w:rPr>
              <w:t xml:space="preserve">In pursuit of his dreams, the Now Claimant actively collaborated with The Metropolitan Police Force, The Enfield Council, and their Subsidiary Companies. He </w:t>
            </w:r>
            <w:r w:rsidRPr="00743E79">
              <w:rPr>
                <w:color w:val="0000FF"/>
                <w:lang w:eastAsia="en-GB"/>
              </w:rPr>
              <w:t>participated in music events within local parks</w:t>
            </w:r>
            <w:r>
              <w:rPr>
                <w:lang w:eastAsia="en-GB"/>
              </w:rPr>
              <w:t>.</w:t>
            </w:r>
          </w:p>
          <w:p w14:paraId="741A08D0" w14:textId="77777777" w:rsidR="00743E79" w:rsidRPr="00743E79" w:rsidRDefault="00743E79" w:rsidP="00743E79">
            <w:pPr>
              <w:ind w:left="0" w:firstLine="0"/>
              <w:rPr>
                <w:rFonts w:cs="Times New Roman"/>
                <w:b/>
                <w:bCs/>
                <w:szCs w:val="24"/>
                <w:u w:val="single"/>
              </w:rPr>
            </w:pPr>
          </w:p>
          <w:p w14:paraId="7E99C6DB" w14:textId="3748839F" w:rsidR="00743E79" w:rsidRPr="00743E79" w:rsidRDefault="00743E79" w:rsidP="00743E79">
            <w:pPr>
              <w:pStyle w:val="ListParagraph"/>
              <w:numPr>
                <w:ilvl w:val="0"/>
                <w:numId w:val="44"/>
              </w:numPr>
              <w:ind w:left="737" w:hanging="357"/>
              <w:rPr>
                <w:rFonts w:cs="Times New Roman"/>
                <w:b/>
                <w:bCs/>
                <w:szCs w:val="24"/>
                <w:u w:val="single"/>
              </w:rPr>
            </w:pPr>
            <w:r w:rsidRPr="00743E79">
              <w:rPr>
                <w:b/>
                <w:bCs/>
                <w:u w:val="single"/>
                <w:lang w:eastAsia="en-GB"/>
              </w:rPr>
              <w:t>Engaged In Constructive Dialogues</w:t>
            </w:r>
          </w:p>
          <w:p w14:paraId="6AB7CA84" w14:textId="6BEFE7E6" w:rsidR="00A62228" w:rsidRPr="00116E67" w:rsidRDefault="00743E79" w:rsidP="00743E79">
            <w:pPr>
              <w:pStyle w:val="ListParagraph"/>
              <w:ind w:left="740" w:firstLine="0"/>
              <w:rPr>
                <w:lang w:eastAsia="en-GB"/>
              </w:rPr>
            </w:pPr>
            <w:r>
              <w:rPr>
                <w:lang w:eastAsia="en-GB"/>
              </w:rPr>
              <w:t>T</w:t>
            </w:r>
            <w:r w:rsidRPr="00743E79">
              <w:rPr>
                <w:lang w:eastAsia="en-GB"/>
              </w:rPr>
              <w:t>he Now Claimant</w:t>
            </w:r>
            <w:r w:rsidRPr="00743E79">
              <w:rPr>
                <w:lang w:eastAsia="en-GB"/>
              </w:rPr>
              <w:t xml:space="preserve"> </w:t>
            </w:r>
            <w:r w:rsidR="00A62228" w:rsidRPr="00116E67">
              <w:rPr>
                <w:lang w:eastAsia="en-GB"/>
              </w:rPr>
              <w:t>engaged in constructive dialogues</w:t>
            </w:r>
            <w:r w:rsidR="00A62228" w:rsidRPr="00743E79">
              <w:rPr>
                <w:color w:val="0000FF"/>
                <w:lang w:eastAsia="en-GB"/>
              </w:rPr>
              <w:t xml:space="preserve"> </w:t>
            </w:r>
            <w:r>
              <w:rPr>
                <w:color w:val="0000FF"/>
                <w:lang w:eastAsia="en-GB"/>
              </w:rPr>
              <w:t xml:space="preserve">by attending </w:t>
            </w:r>
            <w:r w:rsidR="00A62228" w:rsidRPr="00743E79">
              <w:rPr>
                <w:color w:val="0000FF"/>
                <w:lang w:eastAsia="en-GB"/>
              </w:rPr>
              <w:t>at the Enfield Civic Centre</w:t>
            </w:r>
            <w:r w:rsidR="00A62228" w:rsidRPr="00116E67">
              <w:rPr>
                <w:lang w:eastAsia="en-GB"/>
              </w:rPr>
              <w:t xml:space="preserve"> to explore avenues for realizing his positive life goals.</w:t>
            </w:r>
          </w:p>
          <w:p w14:paraId="66371276" w14:textId="77777777" w:rsidR="005B608E" w:rsidRPr="001C7C25" w:rsidRDefault="005B608E" w:rsidP="005B608E">
            <w:pPr>
              <w:pStyle w:val="ListParagraph"/>
              <w:ind w:left="737" w:firstLine="0"/>
              <w:rPr>
                <w:rFonts w:cs="Times New Roman"/>
                <w:szCs w:val="24"/>
                <w:lang w:eastAsia="en-GB"/>
              </w:rPr>
            </w:pPr>
          </w:p>
          <w:p w14:paraId="414761F0" w14:textId="77777777" w:rsidR="00743E79" w:rsidRDefault="00D54110" w:rsidP="00743E79">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116E67">
              <w:rPr>
                <w:lang w:eastAsia="en-GB"/>
              </w:rPr>
              <w:t xml:space="preserve"> </w:t>
            </w:r>
            <w:r w:rsidR="006A620B" w:rsidRPr="00116E67">
              <w:rPr>
                <w:color w:val="0000FF"/>
                <w:lang w:eastAsia="en-GB"/>
              </w:rPr>
              <w:t>Local Community Hall</w:t>
            </w:r>
            <w:r w:rsidR="006A620B" w:rsidRPr="00116E67">
              <w:rPr>
                <w:lang w:eastAsia="en-GB"/>
              </w:rPr>
              <w:t>.</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D54110">
              <w:rPr>
                <w:b/>
                <w:bCs/>
                <w:lang w:eastAsia="en-GB"/>
              </w:rPr>
              <w:t>“</w:t>
            </w:r>
            <w:r w:rsidRPr="00116E67">
              <w:rPr>
                <w:b/>
                <w:bCs/>
                <w:u w:val="single"/>
                <w:lang w:eastAsia="en-GB"/>
              </w:rPr>
              <w:t>Building Managers</w:t>
            </w:r>
            <w:r w:rsidRPr="00D54110">
              <w:rPr>
                <w:b/>
                <w:bCs/>
                <w:lang w:eastAsia="en-GB"/>
              </w:rPr>
              <w:t>”</w:t>
            </w:r>
            <w:r w:rsidRPr="00116E67">
              <w:rPr>
                <w:lang w:eastAsia="en-GB"/>
              </w:rPr>
              <w:t xml:space="preserve"> </w:t>
            </w:r>
            <w:r>
              <w:rPr>
                <w:lang w:eastAsia="en-GB"/>
              </w:rPr>
              <w:t xml:space="preserve">and stay </w:t>
            </w:r>
            <w:r w:rsidRPr="00116E67">
              <w:rPr>
                <w:lang w:eastAsia="en-GB"/>
              </w:rPr>
              <w:t>responsible for leasing the facility as a community hall.</w:t>
            </w:r>
          </w:p>
          <w:p w14:paraId="0BA6492B" w14:textId="77777777" w:rsidR="00743E79" w:rsidRDefault="00743E79" w:rsidP="00743E79">
            <w:pPr>
              <w:pStyle w:val="ListParagraph"/>
              <w:ind w:left="737" w:firstLine="0"/>
              <w:rPr>
                <w:rFonts w:cs="Times New Roman"/>
                <w:b/>
                <w:bCs/>
                <w:szCs w:val="24"/>
                <w:u w:val="single"/>
              </w:rPr>
            </w:pPr>
          </w:p>
          <w:p w14:paraId="70A68A44" w14:textId="77777777"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Built Websites</w:t>
            </w:r>
          </w:p>
          <w:p w14:paraId="3DB71EC1" w14:textId="4484517B" w:rsidR="00743E79" w:rsidRPr="006B03D0" w:rsidRDefault="006B03D0" w:rsidP="006B03D0">
            <w:pPr>
              <w:pStyle w:val="ListParagraph"/>
              <w:numPr>
                <w:ilvl w:val="0"/>
                <w:numId w:val="99"/>
              </w:numPr>
              <w:rPr>
                <w:rFonts w:cs="Times New Roman"/>
                <w:color w:val="ED7D31" w:themeColor="accent2"/>
                <w:szCs w:val="24"/>
              </w:rPr>
            </w:pPr>
            <w:r w:rsidRPr="006B03D0">
              <w:rPr>
                <w:rFonts w:cs="Times New Roman"/>
                <w:color w:val="ED7D31" w:themeColor="accent2"/>
                <w:szCs w:val="24"/>
              </w:rPr>
              <w:t>A</w:t>
            </w:r>
          </w:p>
          <w:p w14:paraId="0B6F08A7" w14:textId="77777777" w:rsidR="006B03D0" w:rsidRDefault="006B03D0" w:rsidP="00743E79">
            <w:pPr>
              <w:pStyle w:val="ListParagraph"/>
              <w:ind w:left="737" w:firstLine="0"/>
              <w:rPr>
                <w:rFonts w:cs="Times New Roman"/>
                <w:b/>
                <w:bCs/>
                <w:szCs w:val="24"/>
                <w:u w:val="single"/>
              </w:rPr>
            </w:pPr>
          </w:p>
          <w:p w14:paraId="6AE3B13D" w14:textId="3CA922A3"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Invested Hard Earned Cash into Equipment</w:t>
            </w:r>
          </w:p>
          <w:p w14:paraId="5701A754" w14:textId="77777777" w:rsidR="006B03D0" w:rsidRPr="006B03D0" w:rsidRDefault="006B03D0" w:rsidP="006B03D0">
            <w:pPr>
              <w:pStyle w:val="ListParagraph"/>
              <w:numPr>
                <w:ilvl w:val="0"/>
                <w:numId w:val="99"/>
              </w:numPr>
              <w:rPr>
                <w:rFonts w:cs="Times New Roman"/>
                <w:color w:val="ED7D31" w:themeColor="accent2"/>
                <w:szCs w:val="24"/>
              </w:rPr>
            </w:pPr>
            <w:r w:rsidRPr="006B03D0">
              <w:rPr>
                <w:rFonts w:cs="Times New Roman"/>
                <w:color w:val="ED7D31" w:themeColor="accent2"/>
                <w:szCs w:val="24"/>
              </w:rPr>
              <w:t>A</w:t>
            </w:r>
          </w:p>
          <w:p w14:paraId="3C137004" w14:textId="77777777" w:rsidR="00743E79" w:rsidRPr="00743E79" w:rsidRDefault="00743E79" w:rsidP="00743E79">
            <w:pPr>
              <w:pStyle w:val="ListParagraph"/>
              <w:rPr>
                <w:rFonts w:cs="Times New Roman"/>
                <w:b/>
                <w:bCs/>
                <w:szCs w:val="24"/>
                <w:u w:val="single"/>
                <w:lang w:eastAsia="en-GB"/>
              </w:rPr>
            </w:pPr>
          </w:p>
          <w:p w14:paraId="4B32C373" w14:textId="2887456D"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0BBC8A82" w14:textId="77777777" w:rsidR="006B03D0" w:rsidRPr="006B03D0" w:rsidRDefault="006B03D0" w:rsidP="006B03D0">
            <w:pPr>
              <w:pStyle w:val="ListParagraph"/>
              <w:numPr>
                <w:ilvl w:val="0"/>
                <w:numId w:val="99"/>
              </w:numPr>
              <w:rPr>
                <w:rFonts w:cs="Times New Roman"/>
                <w:color w:val="ED7D31" w:themeColor="accent2"/>
                <w:szCs w:val="24"/>
              </w:rPr>
            </w:pPr>
            <w:r w:rsidRPr="006B03D0">
              <w:rPr>
                <w:rFonts w:cs="Times New Roman"/>
                <w:color w:val="ED7D31" w:themeColor="accent2"/>
                <w:szCs w:val="24"/>
              </w:rPr>
              <w:t>A</w:t>
            </w:r>
          </w:p>
          <w:p w14:paraId="7580F215" w14:textId="77777777" w:rsidR="00743E79" w:rsidRPr="00743E79" w:rsidRDefault="00743E79"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7E33867A" w14:textId="77777777" w:rsidR="00AD23AB" w:rsidRDefault="00AD23AB" w:rsidP="00AD23AB">
            <w:pPr>
              <w:pStyle w:val="ListParagraph"/>
              <w:numPr>
                <w:ilvl w:val="0"/>
                <w:numId w:val="99"/>
              </w:numPr>
              <w:rPr>
                <w:rFonts w:cs="Times New Roman"/>
                <w:color w:val="ED7D31" w:themeColor="accent2"/>
                <w:szCs w:val="24"/>
              </w:rPr>
            </w:pPr>
            <w:r w:rsidRPr="006B03D0">
              <w:rPr>
                <w:rFonts w:cs="Times New Roman"/>
                <w:color w:val="ED7D31" w:themeColor="accent2"/>
                <w:szCs w:val="24"/>
              </w:rPr>
              <w:t>A</w:t>
            </w:r>
          </w:p>
          <w:p w14:paraId="0C7A61BE" w14:textId="77777777" w:rsidR="00AD23AB" w:rsidRDefault="00AD23AB"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0F40A66D" w14:textId="77777777" w:rsidR="006B03D0" w:rsidRDefault="006B03D0" w:rsidP="006B03D0">
            <w:pPr>
              <w:pStyle w:val="ListParagraph"/>
              <w:numPr>
                <w:ilvl w:val="0"/>
                <w:numId w:val="99"/>
              </w:numPr>
              <w:rPr>
                <w:rFonts w:cs="Times New Roman"/>
                <w:color w:val="ED7D31" w:themeColor="accent2"/>
                <w:szCs w:val="24"/>
              </w:rPr>
            </w:pPr>
            <w:r w:rsidRPr="006B03D0">
              <w:rPr>
                <w:rFonts w:cs="Times New Roman"/>
                <w:color w:val="ED7D31" w:themeColor="accent2"/>
                <w:szCs w:val="24"/>
              </w:rPr>
              <w:lastRenderedPageBreak/>
              <w:t>A</w:t>
            </w:r>
          </w:p>
          <w:p w14:paraId="44931BFC" w14:textId="77777777" w:rsidR="00743E79" w:rsidRPr="002753E4" w:rsidRDefault="00743E79"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5446EA1B" w14:textId="77777777" w:rsidR="00655B9F" w:rsidRDefault="00655B9F" w:rsidP="00655B9F">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Pr="006901CA"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4390D7EE" w14:textId="77777777" w:rsidR="00655B9F" w:rsidRPr="00655B9F" w:rsidRDefault="00655B9F" w:rsidP="00655B9F">
            <w:pPr>
              <w:ind w:left="0" w:firstLine="0"/>
              <w:rPr>
                <w:rFonts w:cs="Times New Roman"/>
                <w:b/>
                <w:bCs/>
                <w:szCs w:val="24"/>
                <w:u w:val="single"/>
              </w:rPr>
            </w:pPr>
          </w:p>
          <w:p w14:paraId="34B0E115" w14:textId="3D78A672" w:rsidR="004B41E5" w:rsidRPr="0002022E" w:rsidRDefault="004B41E5" w:rsidP="00655B9F">
            <w:pPr>
              <w:pStyle w:val="ListParagraph"/>
              <w:numPr>
                <w:ilvl w:val="0"/>
                <w:numId w:val="44"/>
              </w:numPr>
              <w:ind w:left="737" w:hanging="357"/>
              <w:rPr>
                <w:rFonts w:cs="Times New Roman"/>
                <w:b/>
                <w:bCs/>
                <w:szCs w:val="24"/>
                <w:u w:val="single"/>
              </w:rPr>
            </w:pPr>
            <w:r w:rsidRPr="00655B9F">
              <w:rPr>
                <w:b/>
                <w:bCs/>
                <w:u w:val="single"/>
                <w:lang w:eastAsia="en-GB"/>
              </w:rPr>
              <w:t>P</w:t>
            </w:r>
            <w:r w:rsidRPr="0002022E">
              <w:rPr>
                <w:b/>
                <w:bCs/>
                <w:u w:val="single"/>
                <w:lang w:eastAsia="en-GB"/>
              </w:rPr>
              <w:t>oints</w:t>
            </w:r>
          </w:p>
          <w:p w14:paraId="00B7A9AA" w14:textId="77777777" w:rsidR="004B41E5" w:rsidRPr="0002022E" w:rsidRDefault="004B41E5" w:rsidP="004B41E5">
            <w:pPr>
              <w:pStyle w:val="ListParagraph"/>
              <w:numPr>
                <w:ilvl w:val="0"/>
                <w:numId w:val="98"/>
              </w:numPr>
              <w:rPr>
                <w:lang w:eastAsia="en-GB"/>
              </w:rPr>
            </w:pPr>
            <w:r w:rsidRPr="0002022E">
              <w:rPr>
                <w:lang w:eastAsia="en-GB"/>
              </w:rPr>
              <w:t>Lies of clear fraud were obviously made by the developers of the Asbo as the evidence is within the Asbo.</w:t>
            </w:r>
          </w:p>
          <w:p w14:paraId="20F499BB" w14:textId="77777777" w:rsidR="004B41E5" w:rsidRPr="003C1834" w:rsidRDefault="004B41E5" w:rsidP="004B41E5">
            <w:pPr>
              <w:pStyle w:val="ListParagraph"/>
              <w:ind w:left="1077" w:firstLine="0"/>
              <w:rPr>
                <w:color w:val="A8D08D" w:themeColor="accent6" w:themeTint="99"/>
                <w:lang w:eastAsia="en-GB"/>
              </w:rPr>
            </w:pPr>
          </w:p>
          <w:p w14:paraId="62BA4C89" w14:textId="77777777" w:rsidR="004B41E5" w:rsidRPr="003C1834" w:rsidRDefault="004B41E5" w:rsidP="004B41E5">
            <w:pPr>
              <w:pStyle w:val="ListParagraph"/>
              <w:numPr>
                <w:ilvl w:val="0"/>
                <w:numId w:val="98"/>
              </w:numPr>
              <w:rPr>
                <w:color w:val="A8D08D" w:themeColor="accent6" w:themeTint="99"/>
                <w:lang w:eastAsia="en-GB"/>
              </w:rPr>
            </w:pPr>
            <w:r w:rsidRPr="003C1834">
              <w:rPr>
                <w:color w:val="A8D08D" w:themeColor="accent6" w:themeTint="99"/>
                <w:lang w:eastAsia="en-GB"/>
              </w:rPr>
              <w:t xml:space="preserve">The </w:t>
            </w:r>
            <w:r w:rsidRPr="00743E79">
              <w:rPr>
                <w:b/>
                <w:bCs/>
                <w:lang w:eastAsia="en-GB"/>
              </w:rPr>
              <w:t>probations</w:t>
            </w:r>
            <w:r w:rsidRPr="003C1834">
              <w:rPr>
                <w:color w:val="A8D08D" w:themeColor="accent6" w:themeTint="99"/>
                <w:lang w:eastAsia="en-GB"/>
              </w:rPr>
              <w:t xml:space="preserve"> set on the Now Claimant by official persons due to the Asbo were a breach of the now claimant’s human rights and have wrongly tarnished his future employment prospects.</w:t>
            </w:r>
          </w:p>
          <w:p w14:paraId="2017128E" w14:textId="77777777" w:rsidR="004B41E5" w:rsidRPr="003C1834" w:rsidRDefault="004B41E5" w:rsidP="004B41E5">
            <w:pPr>
              <w:pStyle w:val="ListParagraph"/>
              <w:ind w:left="1077" w:firstLine="0"/>
              <w:rPr>
                <w:color w:val="A8D08D" w:themeColor="accent6" w:themeTint="99"/>
                <w:lang w:eastAsia="en-GB"/>
              </w:rPr>
            </w:pPr>
          </w:p>
          <w:p w14:paraId="6C47D1FF" w14:textId="77777777" w:rsidR="0002022E" w:rsidRDefault="004B41E5" w:rsidP="0002022E">
            <w:pPr>
              <w:pStyle w:val="ListParagraph"/>
              <w:numPr>
                <w:ilvl w:val="0"/>
                <w:numId w:val="98"/>
              </w:numPr>
              <w:rPr>
                <w:color w:val="A8D08D" w:themeColor="accent6" w:themeTint="99"/>
                <w:lang w:eastAsia="en-GB"/>
              </w:rPr>
            </w:pPr>
            <w:r w:rsidRPr="003C1834">
              <w:rPr>
                <w:color w:val="A8D08D" w:themeColor="accent6" w:themeTint="99"/>
                <w:lang w:eastAsia="en-GB"/>
              </w:rPr>
              <w:t xml:space="preserve">The Developers of the Asbo are The Metropolitan Police Force, The Enfield Council, and their Subsidiary Companies Staff and in the creation of the Law Abiding Official Asbo Court Order Application </w:t>
            </w:r>
          </w:p>
          <w:p w14:paraId="1A5017B4" w14:textId="77777777" w:rsidR="0002022E" w:rsidRPr="0002022E" w:rsidRDefault="0002022E" w:rsidP="0002022E">
            <w:pPr>
              <w:pStyle w:val="ListParagraph"/>
              <w:rPr>
                <w:b/>
                <w:bCs/>
                <w:u w:val="single"/>
                <w:lang w:eastAsia="en-GB"/>
              </w:rPr>
            </w:pPr>
          </w:p>
          <w:p w14:paraId="5D4554B3" w14:textId="77777777" w:rsidR="0002022E" w:rsidRPr="0002022E" w:rsidRDefault="004B41E5" w:rsidP="0002022E">
            <w:pPr>
              <w:pStyle w:val="ListParagraph"/>
              <w:numPr>
                <w:ilvl w:val="0"/>
                <w:numId w:val="98"/>
              </w:numPr>
              <w:rPr>
                <w:color w:val="A8D08D" w:themeColor="accent6" w:themeTint="99"/>
                <w:lang w:eastAsia="en-GB"/>
              </w:rPr>
            </w:pPr>
            <w:r w:rsidRPr="0002022E">
              <w:rPr>
                <w:b/>
                <w:bCs/>
                <w:u w:val="single"/>
                <w:lang w:eastAsia="en-GB"/>
              </w:rPr>
              <w:t>Exhibit</w:t>
            </w:r>
            <w:r w:rsidRPr="00743E79">
              <w:rPr>
                <w:lang w:eastAsia="en-GB"/>
              </w:rPr>
              <w:t>: --</w:t>
            </w:r>
          </w:p>
          <w:p w14:paraId="1A5E7FFC" w14:textId="77777777" w:rsidR="0002022E" w:rsidRDefault="0002022E" w:rsidP="0002022E">
            <w:pPr>
              <w:pStyle w:val="ListParagraph"/>
              <w:numPr>
                <w:ilvl w:val="0"/>
                <w:numId w:val="101"/>
              </w:numPr>
              <w:rPr>
                <w:lang w:eastAsia="en-GB"/>
              </w:rPr>
            </w:pPr>
            <w:r w:rsidRPr="0002022E">
              <w:rPr>
                <w:b/>
                <w:bCs/>
                <w:u w:val="single"/>
                <w:lang w:eastAsia="en-GB"/>
              </w:rPr>
              <w:t>For Example One</w:t>
            </w:r>
            <w:r w:rsidRPr="00D54110">
              <w:t>:</w:t>
            </w:r>
            <w:r w:rsidRPr="00116E67">
              <w:rPr>
                <w:lang w:eastAsia="en-GB"/>
              </w:rPr>
              <w:t xml:space="preserve"> </w:t>
            </w:r>
            <w:r w:rsidRPr="00D54110">
              <w:t>--</w:t>
            </w:r>
            <w:r>
              <w:rPr>
                <w:lang w:eastAsia="en-GB"/>
              </w:rPr>
              <w:t xml:space="preserve"> </w:t>
            </w:r>
          </w:p>
          <w:p w14:paraId="3660A410" w14:textId="77777777" w:rsidR="0002022E" w:rsidRDefault="0002022E" w:rsidP="0002022E">
            <w:pPr>
              <w:pStyle w:val="ListParagraph"/>
              <w:numPr>
                <w:ilvl w:val="0"/>
                <w:numId w:val="101"/>
              </w:numPr>
              <w:rPr>
                <w:lang w:eastAsia="en-GB"/>
              </w:rPr>
            </w:pPr>
            <w:r w:rsidRPr="006B0509">
              <w:rPr>
                <w:lang w:eastAsia="en-GB"/>
              </w:rPr>
              <w:t xml:space="preserve">For example, the Memorandum and Articles of Association of Enfield Homes, specifically Section 18.4, 18.4.1, and 18.4.2, related to "Disqualification and Removal of Board Members," </w:t>
            </w:r>
            <w:r w:rsidRPr="00BC65C2">
              <w:t xml:space="preserve">and </w:t>
            </w:r>
            <w:r w:rsidRPr="006B0509">
              <w:rPr>
                <w:lang w:eastAsia="en-GB"/>
              </w:rPr>
              <w:t>clearly outline</w:t>
            </w:r>
            <w:r w:rsidRPr="00BC65C2">
              <w:t>s</w:t>
            </w:r>
            <w:r w:rsidRPr="006B0509">
              <w:rPr>
                <w:lang w:eastAsia="en-GB"/>
              </w:rPr>
              <w:t xml:space="preserve"> the</w:t>
            </w:r>
            <w:r w:rsidRPr="00BC65C2">
              <w:t xml:space="preserve"> Enfield Councils</w:t>
            </w:r>
            <w:r w:rsidRPr="006B0509">
              <w:rPr>
                <w:lang w:eastAsia="en-GB"/>
              </w:rPr>
              <w:t xml:space="preserve"> regulations.</w:t>
            </w:r>
          </w:p>
          <w:p w14:paraId="3482D886" w14:textId="77777777" w:rsidR="0002022E" w:rsidRPr="0002022E" w:rsidRDefault="0002022E" w:rsidP="0002022E">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CF31C4" w14:textId="77777777" w:rsidR="0002022E" w:rsidRPr="0002022E" w:rsidRDefault="0002022E" w:rsidP="0002022E">
            <w:pPr>
              <w:pStyle w:val="ListParagraph"/>
              <w:rPr>
                <w:b/>
                <w:bCs/>
                <w:u w:val="single"/>
              </w:rPr>
            </w:pPr>
          </w:p>
          <w:p w14:paraId="118E232B" w14:textId="6D227091" w:rsidR="00A961CF" w:rsidRPr="0002022E" w:rsidRDefault="00BC65C2" w:rsidP="0002022E">
            <w:pPr>
              <w:pStyle w:val="ListParagraph"/>
              <w:numPr>
                <w:ilvl w:val="0"/>
                <w:numId w:val="98"/>
              </w:numPr>
              <w:rPr>
                <w:color w:val="A8D08D" w:themeColor="accent6" w:themeTint="99"/>
                <w:lang w:eastAsia="en-GB"/>
              </w:rPr>
            </w:pPr>
            <w:r w:rsidRPr="0002022E">
              <w:rPr>
                <w:b/>
                <w:bCs/>
                <w:u w:val="single"/>
              </w:rPr>
              <w:t>Our</w:t>
            </w:r>
            <w:r w:rsidR="00A961CF" w:rsidRPr="0002022E">
              <w:rPr>
                <w:b/>
                <w:bCs/>
                <w:u w:val="single"/>
                <w:lang w:eastAsia="en-GB"/>
              </w:rPr>
              <w:t xml:space="preserve"> excerpt from The Enfield Homes Memorandum:</w:t>
            </w:r>
          </w:p>
          <w:p w14:paraId="23B43C26" w14:textId="77777777" w:rsidR="00BC65C2" w:rsidRDefault="00BC65C2" w:rsidP="00BC65C2">
            <w:pPr>
              <w:rPr>
                <w:b/>
                <w:bCs/>
                <w:u w:val="single"/>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BC65C2" w14:paraId="29CB0971" w14:textId="77777777" w:rsidTr="0002022E">
              <w:trPr>
                <w:jc w:val="center"/>
              </w:trPr>
              <w:tc>
                <w:tcPr>
                  <w:tcW w:w="8082" w:type="dxa"/>
                </w:tcPr>
                <w:p w14:paraId="182D6C92" w14:textId="77777777" w:rsidR="00BC65C2" w:rsidRDefault="00BC65C2" w:rsidP="00BC65C2">
                  <w:pPr>
                    <w:ind w:left="0" w:firstLine="0"/>
                    <w:jc w:val="center"/>
                    <w:rPr>
                      <w:b/>
                      <w:bCs/>
                      <w:u w:val="single"/>
                      <w:lang w:eastAsia="en-GB"/>
                    </w:rPr>
                  </w:pPr>
                </w:p>
                <w:p w14:paraId="6B601016" w14:textId="40DDCDD0" w:rsidR="00BC65C2" w:rsidRPr="00BC65C2" w:rsidRDefault="00BC65C2" w:rsidP="00BC65C2">
                  <w:pPr>
                    <w:ind w:left="0" w:firstLine="0"/>
                    <w:jc w:val="center"/>
                    <w:rPr>
                      <w:b/>
                      <w:bCs/>
                      <w:u w:val="single"/>
                      <w:lang w:eastAsia="en-GB"/>
                    </w:rPr>
                  </w:pPr>
                  <w:r w:rsidRPr="00BC65C2">
                    <w:rPr>
                      <w:b/>
                      <w:bCs/>
                      <w:u w:val="single"/>
                      <w:lang w:eastAsia="en-GB"/>
                    </w:rPr>
                    <w:t>Disqualification and Removal of Board Members</w:t>
                  </w:r>
                </w:p>
                <w:p w14:paraId="265519C9" w14:textId="77777777" w:rsidR="00BC65C2" w:rsidRDefault="00BC65C2" w:rsidP="00BC65C2">
                  <w:pPr>
                    <w:ind w:left="0" w:firstLine="0"/>
                    <w:rPr>
                      <w:b/>
                      <w:bCs/>
                      <w:u w:val="single"/>
                      <w:lang w:eastAsia="en-GB"/>
                    </w:rPr>
                  </w:pPr>
                </w:p>
              </w:tc>
            </w:tr>
            <w:tr w:rsidR="00BC65C2" w14:paraId="2FF9966D" w14:textId="77777777" w:rsidTr="0002022E">
              <w:trPr>
                <w:jc w:val="center"/>
              </w:trPr>
              <w:tc>
                <w:tcPr>
                  <w:tcW w:w="8082" w:type="dxa"/>
                </w:tcPr>
                <w:p w14:paraId="20192DE0" w14:textId="77777777" w:rsidR="00BC65C2" w:rsidRDefault="00BC65C2" w:rsidP="00BC65C2">
                  <w:pPr>
                    <w:numPr>
                      <w:ilvl w:val="0"/>
                      <w:numId w:val="9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6B0509">
                    <w:rPr>
                      <w:rFonts w:ascii="Segoe UI" w:eastAsia="Times New Roman" w:hAnsi="Segoe UI" w:cs="Segoe UI"/>
                      <w:color w:val="374151"/>
                      <w:kern w:val="0"/>
                      <w:szCs w:val="24"/>
                      <w:lang w:eastAsia="en-GB"/>
                      <w14:ligatures w14:val="none"/>
                    </w:rPr>
                    <w:t>A person shall be ineligible for appointment to the Board and shall immediately cease to be a Board Member if the relevant individual:</w:t>
                  </w:r>
                </w:p>
                <w:p w14:paraId="17D9504B" w14:textId="77777777" w:rsidR="00BC65C2" w:rsidRDefault="00BC65C2" w:rsidP="00BC65C2">
                  <w:pPr>
                    <w:ind w:left="0" w:firstLine="0"/>
                    <w:rPr>
                      <w:rFonts w:ascii="Segoe UI" w:eastAsia="Times New Roman" w:hAnsi="Segoe UI" w:cs="Segoe UI"/>
                      <w:color w:val="374151"/>
                      <w:kern w:val="0"/>
                      <w:szCs w:val="24"/>
                      <w:lang w:eastAsia="en-GB"/>
                      <w14:ligatures w14:val="none"/>
                    </w:rPr>
                  </w:pPr>
                  <w:r w:rsidRPr="006B0509">
                    <w:rPr>
                      <w:rFonts w:ascii="Segoe UI" w:eastAsia="Times New Roman" w:hAnsi="Segoe UI" w:cs="Segoe UI"/>
                      <w:color w:val="374151"/>
                      <w:kern w:val="0"/>
                      <w:szCs w:val="24"/>
                      <w:lang w:eastAsia="en-GB"/>
                      <w14:ligatures w14:val="none"/>
                    </w:rPr>
                    <w:lastRenderedPageBreak/>
                    <w:br/>
                    <w:t>18.1 Ceases to be a Board Member by virtue of any provision of the Act or becomes prohibited by law from being a company director, or</w:t>
                  </w:r>
                  <w:r w:rsidRPr="006B0509">
                    <w:rPr>
                      <w:rFonts w:ascii="Segoe UI" w:eastAsia="Times New Roman" w:hAnsi="Segoe UI" w:cs="Segoe UI"/>
                      <w:color w:val="374151"/>
                      <w:kern w:val="0"/>
                      <w:szCs w:val="24"/>
                      <w:lang w:eastAsia="en-GB"/>
                      <w14:ligatures w14:val="none"/>
                    </w:rPr>
                    <w:br/>
                    <w:t>18.2 Is or becomes a person disqualified from elected membership of a local authority, or</w:t>
                  </w:r>
                  <w:r w:rsidRPr="006B0509">
                    <w:rPr>
                      <w:rFonts w:ascii="Segoe UI" w:eastAsia="Times New Roman" w:hAnsi="Segoe UI" w:cs="Segoe UI"/>
                      <w:color w:val="374151"/>
                      <w:kern w:val="0"/>
                      <w:szCs w:val="24"/>
                      <w:lang w:eastAsia="en-GB"/>
                      <w14:ligatures w14:val="none"/>
                    </w:rPr>
                    <w:br/>
                    <w:t>18.3 Becomes bankrupt or makes any arrangement or composition with his creditors generally, or</w:t>
                  </w:r>
                  <w:r w:rsidRPr="006B0509">
                    <w:rPr>
                      <w:rFonts w:ascii="Segoe UI" w:eastAsia="Times New Roman" w:hAnsi="Segoe UI" w:cs="Segoe UI"/>
                      <w:color w:val="374151"/>
                      <w:kern w:val="0"/>
                      <w:szCs w:val="24"/>
                      <w:lang w:eastAsia="en-GB"/>
                      <w14:ligatures w14:val="none"/>
                    </w:rPr>
                    <w:br/>
                    <w:t>18.4 Is, or may be, suffering from mental disorder and either:</w:t>
                  </w:r>
                  <w:r w:rsidRPr="006B0509">
                    <w:rPr>
                      <w:rFonts w:ascii="Segoe UI" w:eastAsia="Times New Roman" w:hAnsi="Segoe UI" w:cs="Segoe UI"/>
                      <w:color w:val="374151"/>
                      <w:kern w:val="0"/>
                      <w:szCs w:val="24"/>
                      <w:lang w:eastAsia="en-GB"/>
                      <w14:ligatures w14:val="none"/>
                    </w:rPr>
                    <w:br/>
                    <w:t>18.4.1 Is admitted to hospital in pursuance of an application for admission for treatment under the Mental Health Act 1983 or, in Scotland, an application for admission under the Mental Health (Scotland) Act 1960, or</w:t>
                  </w:r>
                  <w:r w:rsidRPr="006B0509">
                    <w:rPr>
                      <w:rFonts w:ascii="Segoe UI" w:eastAsia="Times New Roman" w:hAnsi="Segoe UI" w:cs="Segoe UI"/>
                      <w:color w:val="374151"/>
                      <w:kern w:val="0"/>
                      <w:szCs w:val="24"/>
                      <w:lang w:eastAsia="en-GB"/>
                      <w14:ligatures w14:val="none"/>
                    </w:rPr>
                    <w:br/>
                    <w:t xml:space="preserve">18.4.2 An order is made by a court having jurisdiction (whether in the United Kingdom or elsewhere) in matters concerning mental disorder for his/her detention or for the appointment of a receiver, curator </w:t>
                  </w:r>
                  <w:proofErr w:type="spellStart"/>
                  <w:r w:rsidRPr="006B0509">
                    <w:rPr>
                      <w:rFonts w:ascii="Segoe UI" w:eastAsia="Times New Roman" w:hAnsi="Segoe UI" w:cs="Segoe UI"/>
                      <w:color w:val="374151"/>
                      <w:kern w:val="0"/>
                      <w:szCs w:val="24"/>
                      <w:lang w:eastAsia="en-GB"/>
                      <w14:ligatures w14:val="none"/>
                    </w:rPr>
                    <w:t>bonis</w:t>
                  </w:r>
                  <w:proofErr w:type="spellEnd"/>
                  <w:r w:rsidRPr="006B0509">
                    <w:rPr>
                      <w:rFonts w:ascii="Segoe UI" w:eastAsia="Times New Roman" w:hAnsi="Segoe UI" w:cs="Segoe UI"/>
                      <w:color w:val="374151"/>
                      <w:kern w:val="0"/>
                      <w:szCs w:val="24"/>
                      <w:lang w:eastAsia="en-GB"/>
                      <w14:ligatures w14:val="none"/>
                    </w:rPr>
                    <w:t>, or another person to exercise powers with respect to his property or affairs, or..."</w:t>
                  </w:r>
                </w:p>
                <w:p w14:paraId="17799FF1" w14:textId="01019E3B" w:rsidR="00BC65C2" w:rsidRDefault="00BC65C2" w:rsidP="00BC65C2">
                  <w:pPr>
                    <w:ind w:left="0" w:firstLine="0"/>
                    <w:rPr>
                      <w:b/>
                      <w:bCs/>
                      <w:u w:val="single"/>
                      <w:lang w:eastAsia="en-GB"/>
                    </w:rPr>
                  </w:pPr>
                </w:p>
              </w:tc>
            </w:tr>
          </w:tbl>
          <w:p w14:paraId="0C731C37" w14:textId="77777777" w:rsidR="00BC65C2" w:rsidRDefault="00BC65C2" w:rsidP="00BC65C2">
            <w:pPr>
              <w:rPr>
                <w:b/>
                <w:bCs/>
                <w:u w:val="single"/>
                <w:lang w:eastAsia="en-GB"/>
              </w:rPr>
            </w:pPr>
          </w:p>
          <w:p w14:paraId="0CE56AD3" w14:textId="77777777" w:rsidR="00AE386D" w:rsidRDefault="00AE386D" w:rsidP="00BC65C2">
            <w:pPr>
              <w:rPr>
                <w:b/>
                <w:bCs/>
                <w:u w:val="single"/>
                <w:lang w:eastAsia="en-GB"/>
              </w:rPr>
            </w:pPr>
          </w:p>
          <w:p w14:paraId="2557B50A" w14:textId="2F455A33" w:rsidR="00AE386D" w:rsidRPr="00AE386D" w:rsidRDefault="00AE386D" w:rsidP="00AE386D">
            <w:pPr>
              <w:ind w:left="357" w:firstLine="0"/>
              <w:rPr>
                <w:b/>
                <w:bCs/>
                <w:u w:val="single"/>
              </w:rPr>
            </w:pPr>
            <w:r w:rsidRPr="00AE386D">
              <w:rPr>
                <w:b/>
                <w:bCs/>
                <w:u w:val="single"/>
              </w:rPr>
              <w:t>We have Exhibited a copy of the real abstract in the “Evidence Section of this Official Documents Structure</w:t>
            </w:r>
            <w:r>
              <w:rPr>
                <w:b/>
                <w:bCs/>
                <w:u w:val="single"/>
              </w:rPr>
              <w:t xml:space="preserve"> as</w:t>
            </w:r>
            <w:r w:rsidRPr="00AE386D">
              <w:t>: ---</w:t>
            </w:r>
          </w:p>
          <w:p w14:paraId="73D69F0C" w14:textId="77777777" w:rsidR="003F0345" w:rsidRDefault="003F0345" w:rsidP="004B41E5">
            <w:pPr>
              <w:pStyle w:val="ListParagraph"/>
              <w:ind w:left="1077" w:firstLine="0"/>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3F0345" w:rsidRPr="00BB2515" w14:paraId="43127C7E" w14:textId="77777777" w:rsidTr="00B7230F">
              <w:trPr>
                <w:jc w:val="center"/>
              </w:trPr>
              <w:tc>
                <w:tcPr>
                  <w:tcW w:w="8082" w:type="dxa"/>
                </w:tcPr>
                <w:p w14:paraId="5C5CADFC" w14:textId="77777777" w:rsidR="003F0345" w:rsidRPr="00BB2515" w:rsidRDefault="003F0345" w:rsidP="003F0345">
                  <w:pPr>
                    <w:ind w:left="0" w:firstLine="0"/>
                    <w:jc w:val="center"/>
                    <w:rPr>
                      <w:b/>
                      <w:bCs/>
                      <w:highlight w:val="red"/>
                      <w:u w:val="single"/>
                    </w:rPr>
                  </w:pPr>
                </w:p>
                <w:p w14:paraId="6A8B7A0E" w14:textId="77777777" w:rsidR="003F0345" w:rsidRPr="00BB2515" w:rsidRDefault="003F0345" w:rsidP="003F0345">
                  <w:pPr>
                    <w:ind w:left="0" w:firstLine="0"/>
                    <w:jc w:val="center"/>
                    <w:rPr>
                      <w:b/>
                      <w:bCs/>
                      <w:highlight w:val="red"/>
                      <w:u w:val="single"/>
                    </w:rPr>
                  </w:pPr>
                  <w:r w:rsidRPr="00BB2515">
                    <w:rPr>
                      <w:b/>
                      <w:bCs/>
                      <w:highlight w:val="red"/>
                      <w:u w:val="single"/>
                    </w:rPr>
                    <w:t>Disqualification and Removal of Board Members</w:t>
                  </w:r>
                </w:p>
                <w:p w14:paraId="03D65F4E" w14:textId="77777777" w:rsidR="003F0345" w:rsidRPr="00BB2515" w:rsidRDefault="003F0345" w:rsidP="003F0345">
                  <w:pPr>
                    <w:ind w:left="0" w:firstLine="0"/>
                    <w:jc w:val="center"/>
                    <w:rPr>
                      <w:b/>
                      <w:bCs/>
                      <w:highlight w:val="red"/>
                      <w:u w:val="single"/>
                    </w:rPr>
                  </w:pPr>
                </w:p>
                <w:p w14:paraId="5212DC3F" w14:textId="77777777" w:rsidR="003F0345" w:rsidRPr="00BB2515" w:rsidRDefault="003F0345" w:rsidP="003F0345">
                  <w:pPr>
                    <w:ind w:left="0" w:firstLine="0"/>
                    <w:rPr>
                      <w:highlight w:val="red"/>
                    </w:rPr>
                  </w:pPr>
                  <w:r w:rsidRPr="00BB2515">
                    <w:rPr>
                      <w:b/>
                      <w:bCs/>
                      <w:highlight w:val="red"/>
                      <w:u w:val="single"/>
                    </w:rPr>
                    <w:t>18.</w:t>
                  </w:r>
                  <w:r w:rsidRPr="00BB2515">
                    <w:rPr>
                      <w:highlight w:val="red"/>
                    </w:rPr>
                    <w:t xml:space="preserve"> </w:t>
                  </w:r>
                  <w:r w:rsidRPr="00BB2515">
                    <w:rPr>
                      <w:color w:val="70AD47" w:themeColor="accent6"/>
                      <w:highlight w:val="red"/>
                    </w:rPr>
                    <w:t xml:space="preserve">A person shall be ineligible for appointment to the Board and if already appointed shall immediately cease to be a Board Member if the relevant individual:- </w:t>
                  </w:r>
                </w:p>
                <w:p w14:paraId="38983D78" w14:textId="77777777" w:rsidR="003F0345" w:rsidRPr="00BB2515" w:rsidRDefault="003F0345" w:rsidP="003F0345">
                  <w:pPr>
                    <w:ind w:left="0" w:firstLine="0"/>
                    <w:rPr>
                      <w:highlight w:val="red"/>
                    </w:rPr>
                  </w:pPr>
                  <w:r w:rsidRPr="00BB2515">
                    <w:rPr>
                      <w:b/>
                      <w:bCs/>
                      <w:highlight w:val="red"/>
                      <w:u w:val="single"/>
                    </w:rPr>
                    <w:t>18.1</w:t>
                  </w:r>
                  <w:r w:rsidRPr="00BB2515">
                    <w:rPr>
                      <w:highlight w:val="red"/>
                    </w:rPr>
                    <w:t xml:space="preserve"> ceases to be a Board Member by virtue of any provision of the Act or becomes prohibited by law from being a company director: or </w:t>
                  </w:r>
                </w:p>
                <w:p w14:paraId="437B039A" w14:textId="77777777" w:rsidR="003F0345" w:rsidRPr="00BB2515" w:rsidRDefault="003F0345" w:rsidP="003F0345">
                  <w:pPr>
                    <w:ind w:left="0" w:firstLine="0"/>
                    <w:rPr>
                      <w:highlight w:val="red"/>
                    </w:rPr>
                  </w:pPr>
                  <w:r w:rsidRPr="00BB2515">
                    <w:rPr>
                      <w:b/>
                      <w:bCs/>
                      <w:highlight w:val="red"/>
                      <w:u w:val="single"/>
                    </w:rPr>
                    <w:t>18.2</w:t>
                  </w:r>
                  <w:r w:rsidRPr="00BB2515">
                    <w:rPr>
                      <w:highlight w:val="red"/>
                    </w:rPr>
                    <w:t xml:space="preserve"> is or becomes a person disqualified from elected membership of a local authority; or </w:t>
                  </w:r>
                  <w:r w:rsidRPr="00BB2515">
                    <w:rPr>
                      <w:b/>
                      <w:bCs/>
                      <w:highlight w:val="red"/>
                      <w:u w:val="single"/>
                    </w:rPr>
                    <w:t>18.3</w:t>
                  </w:r>
                  <w:r w:rsidRPr="00BB2515">
                    <w:rPr>
                      <w:highlight w:val="red"/>
                    </w:rPr>
                    <w:t xml:space="preserve"> becomes bankrupt or makes any arrangement or composition with his creditors generally; or </w:t>
                  </w:r>
                </w:p>
                <w:p w14:paraId="61461112" w14:textId="77777777" w:rsidR="003F0345" w:rsidRPr="00BB2515" w:rsidRDefault="003F0345" w:rsidP="003F0345">
                  <w:pPr>
                    <w:ind w:left="0" w:firstLine="0"/>
                    <w:rPr>
                      <w:highlight w:val="red"/>
                    </w:rPr>
                  </w:pPr>
                  <w:r w:rsidRPr="00BB2515">
                    <w:rPr>
                      <w:b/>
                      <w:bCs/>
                      <w:highlight w:val="red"/>
                      <w:u w:val="single"/>
                    </w:rPr>
                    <w:t xml:space="preserve">18.4 </w:t>
                  </w:r>
                  <w:r w:rsidRPr="00BB2515">
                    <w:rPr>
                      <w:highlight w:val="red"/>
                    </w:rPr>
                    <w:t xml:space="preserve">is, or may be, suffering from mental disorder and either:- </w:t>
                  </w:r>
                </w:p>
                <w:p w14:paraId="5809CF7B" w14:textId="77777777" w:rsidR="003F0345" w:rsidRPr="00BB2515" w:rsidRDefault="003F0345" w:rsidP="003F0345">
                  <w:pPr>
                    <w:ind w:left="0" w:firstLine="0"/>
                    <w:rPr>
                      <w:highlight w:val="red"/>
                    </w:rPr>
                  </w:pPr>
                  <w:r w:rsidRPr="00BB2515">
                    <w:rPr>
                      <w:b/>
                      <w:bCs/>
                      <w:highlight w:val="red"/>
                      <w:u w:val="single"/>
                    </w:rPr>
                    <w:t>18.4.1</w:t>
                  </w:r>
                  <w:r w:rsidRPr="00BB2515">
                    <w:rPr>
                      <w:highlight w:val="red"/>
                    </w:rPr>
                    <w:t xml:space="preserve"> is admitted to hospital in pursuance of an application for admission for treatment under the Mental Health Act 1983 </w:t>
                  </w:r>
                  <w:r w:rsidRPr="00BB2515">
                    <w:rPr>
                      <w:b/>
                      <w:bCs/>
                      <w:color w:val="FF0000"/>
                      <w:highlight w:val="red"/>
                    </w:rPr>
                    <w:t>or, in</w:t>
                  </w:r>
                  <w:r w:rsidRPr="00BB2515">
                    <w:rPr>
                      <w:highlight w:val="red"/>
                    </w:rPr>
                    <w:t xml:space="preserve"> Scotland, an application for admission under the Mental Health (Scotland) Act 1960; or </w:t>
                  </w:r>
                </w:p>
                <w:p w14:paraId="0B6989C3" w14:textId="77777777" w:rsidR="003F0345" w:rsidRPr="00BB2515" w:rsidRDefault="003F0345" w:rsidP="003F0345">
                  <w:pPr>
                    <w:ind w:left="0" w:firstLine="0"/>
                    <w:rPr>
                      <w:highlight w:val="red"/>
                    </w:rPr>
                  </w:pPr>
                  <w:r w:rsidRPr="00BB2515">
                    <w:rPr>
                      <w:b/>
                      <w:bCs/>
                      <w:highlight w:val="red"/>
                      <w:u w:val="single"/>
                    </w:rPr>
                    <w:t>18.4.2</w:t>
                  </w:r>
                  <w:r w:rsidRPr="00BB2515">
                    <w:rPr>
                      <w:highlight w:val="red"/>
                    </w:rPr>
                    <w:t xml:space="preserve"> an order is made by a court having jurisdiction (whether in the United Kingdom or elsewhere) in matters concerning mental disorder for his/her detention or for the appointment of a receiver, curator </w:t>
                  </w:r>
                  <w:proofErr w:type="spellStart"/>
                  <w:r w:rsidRPr="00BB2515">
                    <w:rPr>
                      <w:highlight w:val="red"/>
                    </w:rPr>
                    <w:t>bonis</w:t>
                  </w:r>
                  <w:proofErr w:type="spellEnd"/>
                  <w:r w:rsidRPr="00BB2515">
                    <w:rPr>
                      <w:highlight w:val="red"/>
                    </w:rPr>
                    <w:t xml:space="preserve"> or other person to exercise powers with respect to his property or affairs; or </w:t>
                  </w:r>
                </w:p>
                <w:p w14:paraId="6AD6BCC7" w14:textId="77777777" w:rsidR="003F0345" w:rsidRPr="00BB2515" w:rsidRDefault="003F0345" w:rsidP="003F0345">
                  <w:pPr>
                    <w:ind w:left="0" w:firstLine="0"/>
                    <w:rPr>
                      <w:highlight w:val="red"/>
                    </w:rPr>
                  </w:pPr>
                  <w:r w:rsidRPr="00BB2515">
                    <w:rPr>
                      <w:b/>
                      <w:bCs/>
                      <w:highlight w:val="red"/>
                      <w:u w:val="single"/>
                    </w:rPr>
                    <w:t>18.5</w:t>
                  </w:r>
                  <w:r w:rsidRPr="00BB2515">
                    <w:rPr>
                      <w:highlight w:val="red"/>
                    </w:rPr>
                    <w:t xml:space="preserve"> resigns his office by notice to the Organisation; or </w:t>
                  </w:r>
                </w:p>
                <w:p w14:paraId="4B150E4F" w14:textId="77777777" w:rsidR="003F0345" w:rsidRPr="00BB2515" w:rsidRDefault="003F0345" w:rsidP="003F0345">
                  <w:pPr>
                    <w:ind w:left="0" w:firstLine="0"/>
                    <w:rPr>
                      <w:highlight w:val="red"/>
                    </w:rPr>
                  </w:pPr>
                  <w:r w:rsidRPr="00BB2515">
                    <w:rPr>
                      <w:b/>
                      <w:bCs/>
                      <w:highlight w:val="red"/>
                      <w:u w:val="single"/>
                    </w:rPr>
                    <w:t>18.6</w:t>
                  </w:r>
                  <w:r w:rsidRPr="00BB2515">
                    <w:rPr>
                      <w:highlight w:val="red"/>
                    </w:rPr>
                    <w:t xml:space="preserve"> is removed from office by a resolution (or written notice signed by) at least three quarters of all the other Board Members from time to time; or </w:t>
                  </w:r>
                </w:p>
                <w:p w14:paraId="01D2DBD2" w14:textId="77777777" w:rsidR="003F0345" w:rsidRPr="00BB2515" w:rsidRDefault="003F0345" w:rsidP="003F0345">
                  <w:pPr>
                    <w:ind w:left="0" w:firstLine="0"/>
                    <w:rPr>
                      <w:highlight w:val="red"/>
                    </w:rPr>
                  </w:pPr>
                  <w:r w:rsidRPr="00BB2515">
                    <w:rPr>
                      <w:b/>
                      <w:bCs/>
                      <w:highlight w:val="red"/>
                      <w:u w:val="single"/>
                    </w:rPr>
                    <w:t>18.7</w:t>
                  </w:r>
                  <w:r w:rsidRPr="00BB2515">
                    <w:rPr>
                      <w:highlight w:val="red"/>
                    </w:rPr>
                    <w:t xml:space="preserve"> shall for more than six consecutive months have been absent without permission of the Board from meetings of the Board held during that period and the Board resolves that his office be vacated; or </w:t>
                  </w:r>
                </w:p>
                <w:p w14:paraId="1147C914" w14:textId="77777777" w:rsidR="003F0345" w:rsidRPr="00BB2515" w:rsidRDefault="003F0345" w:rsidP="003F0345">
                  <w:pPr>
                    <w:ind w:left="0" w:firstLine="0"/>
                    <w:rPr>
                      <w:highlight w:val="red"/>
                    </w:rPr>
                  </w:pPr>
                  <w:r w:rsidRPr="00BB2515">
                    <w:rPr>
                      <w:b/>
                      <w:bCs/>
                      <w:highlight w:val="red"/>
                      <w:u w:val="single"/>
                    </w:rPr>
                    <w:lastRenderedPageBreak/>
                    <w:t>18.8</w:t>
                  </w:r>
                  <w:r w:rsidRPr="00BB2515">
                    <w:rPr>
                      <w:highlight w:val="red"/>
                    </w:rPr>
                    <w:t xml:space="preserve"> in any period of 12 months, he/she shall have been absent (without the permission of the Board Members) from at least 60% of the meetings of Board Members held during that period and the Board Members resolve that his office be vacated; or </w:t>
                  </w:r>
                </w:p>
                <w:p w14:paraId="09F9CA2E" w14:textId="77777777" w:rsidR="003F0345" w:rsidRPr="00BB2515" w:rsidRDefault="003F0345" w:rsidP="003F0345">
                  <w:pPr>
                    <w:ind w:left="0" w:firstLine="0"/>
                    <w:rPr>
                      <w:highlight w:val="red"/>
                    </w:rPr>
                  </w:pPr>
                  <w:r w:rsidRPr="00BB2515">
                    <w:rPr>
                      <w:b/>
                      <w:bCs/>
                      <w:highlight w:val="red"/>
                      <w:u w:val="single"/>
                    </w:rPr>
                    <w:t>18.9</w:t>
                  </w:r>
                  <w:r w:rsidRPr="00BB2515">
                    <w:rPr>
                      <w:highlight w:val="red"/>
                    </w:rPr>
                    <w:t xml:space="preserve"> in the case of a Resident Board Member he/she ceases to be a Resident of the Council Member provided that this article </w:t>
                  </w:r>
                  <w:r w:rsidRPr="00BB2515">
                    <w:rPr>
                      <w:b/>
                      <w:bCs/>
                      <w:highlight w:val="red"/>
                    </w:rPr>
                    <w:t>18.9</w:t>
                  </w:r>
                  <w:r w:rsidRPr="00BB2515">
                    <w:rPr>
                      <w:highlight w:val="red"/>
                    </w:rPr>
                    <w:t xml:space="preserve"> shall not apply in respect of a Resident Board Member temporarily ceasing to be a Resident as a result of the demolition of or works carried out to that Resident Board Member’s home; or </w:t>
                  </w:r>
                </w:p>
                <w:p w14:paraId="4ECDFCE2" w14:textId="77777777" w:rsidR="003F0345" w:rsidRPr="00BB2515" w:rsidRDefault="003F0345" w:rsidP="003F0345">
                  <w:pPr>
                    <w:ind w:left="0" w:firstLine="0"/>
                    <w:rPr>
                      <w:highlight w:val="red"/>
                    </w:rPr>
                  </w:pPr>
                  <w:r w:rsidRPr="00BB2515">
                    <w:rPr>
                      <w:b/>
                      <w:bCs/>
                      <w:highlight w:val="red"/>
                      <w:u w:val="single"/>
                    </w:rPr>
                    <w:t>18.10</w:t>
                  </w:r>
                  <w:r w:rsidRPr="00BB2515">
                    <w:rPr>
                      <w:highlight w:val="red"/>
                    </w:rPr>
                    <w:t xml:space="preserve"> is a Resident Board Member and is (in the reasonable opinion of a majority of Board Members) in serious breach of their obligations as a Resident; or </w:t>
                  </w:r>
                </w:p>
                <w:p w14:paraId="4F6B5074" w14:textId="77777777" w:rsidR="003F0345" w:rsidRPr="00BB2515" w:rsidRDefault="003F0345" w:rsidP="003F0345">
                  <w:pPr>
                    <w:ind w:left="0" w:firstLine="0"/>
                    <w:rPr>
                      <w:highlight w:val="red"/>
                    </w:rPr>
                  </w:pPr>
                  <w:r w:rsidRPr="00BB2515">
                    <w:rPr>
                      <w:b/>
                      <w:bCs/>
                      <w:highlight w:val="red"/>
                      <w:u w:val="single"/>
                    </w:rPr>
                    <w:t>18.11</w:t>
                  </w:r>
                  <w:r w:rsidRPr="00BB2515">
                    <w:rPr>
                      <w:highlight w:val="red"/>
                    </w:rPr>
                    <w:t xml:space="preserve"> is a Council Board Member and is or becomes a Resident leading to a breach of the limit in Article </w:t>
                  </w:r>
                  <w:r w:rsidRPr="00BB2515">
                    <w:rPr>
                      <w:b/>
                      <w:bCs/>
                      <w:highlight w:val="red"/>
                    </w:rPr>
                    <w:t>13.6</w:t>
                  </w:r>
                  <w:r w:rsidRPr="00BB2515">
                    <w:rPr>
                      <w:highlight w:val="red"/>
                    </w:rPr>
                    <w:t xml:space="preserve">; or </w:t>
                  </w:r>
                </w:p>
                <w:p w14:paraId="62FA50A0" w14:textId="77777777" w:rsidR="003F0345" w:rsidRPr="00BB2515" w:rsidRDefault="003F0345" w:rsidP="003F0345">
                  <w:pPr>
                    <w:ind w:left="0" w:firstLine="0"/>
                    <w:rPr>
                      <w:highlight w:val="red"/>
                    </w:rPr>
                  </w:pPr>
                  <w:r w:rsidRPr="00BB2515">
                    <w:rPr>
                      <w:b/>
                      <w:bCs/>
                      <w:highlight w:val="red"/>
                      <w:u w:val="single"/>
                    </w:rPr>
                    <w:t>18.12</w:t>
                  </w:r>
                  <w:r w:rsidRPr="00BB2515">
                    <w:rPr>
                      <w:highlight w:val="red"/>
                    </w:rPr>
                    <w:t xml:space="preserve"> is a Resident Board Member and is or becomes a Local Authority Person leading to a breach of the limit in Article </w:t>
                  </w:r>
                  <w:r w:rsidRPr="00BB2515">
                    <w:rPr>
                      <w:b/>
                      <w:bCs/>
                      <w:highlight w:val="red"/>
                    </w:rPr>
                    <w:t>13.7</w:t>
                  </w:r>
                  <w:r w:rsidRPr="00BB2515">
                    <w:rPr>
                      <w:highlight w:val="red"/>
                    </w:rPr>
                    <w:t xml:space="preserve">; or 14 PSEC 616137.4 </w:t>
                  </w:r>
                </w:p>
                <w:p w14:paraId="37F3E5D7" w14:textId="77777777" w:rsidR="003F0345" w:rsidRPr="00BB2515" w:rsidRDefault="003F0345" w:rsidP="003F0345">
                  <w:pPr>
                    <w:ind w:left="0" w:firstLine="0"/>
                    <w:rPr>
                      <w:highlight w:val="red"/>
                    </w:rPr>
                  </w:pPr>
                  <w:r w:rsidRPr="00BB2515">
                    <w:rPr>
                      <w:b/>
                      <w:bCs/>
                      <w:highlight w:val="red"/>
                      <w:u w:val="single"/>
                    </w:rPr>
                    <w:t>18.13</w:t>
                  </w:r>
                  <w:r w:rsidRPr="00BB2515">
                    <w:rPr>
                      <w:highlight w:val="red"/>
                    </w:rPr>
                    <w:t xml:space="preserve"> is an Independent Board Member and is or becomes a Resident or a Local Authority Person; or </w:t>
                  </w:r>
                </w:p>
                <w:p w14:paraId="22C5292C" w14:textId="77777777" w:rsidR="003F0345" w:rsidRPr="00BB2515" w:rsidRDefault="003F0345" w:rsidP="003F0345">
                  <w:pPr>
                    <w:ind w:left="0" w:firstLine="0"/>
                    <w:rPr>
                      <w:color w:val="ED7D31" w:themeColor="accent2"/>
                      <w:highlight w:val="red"/>
                      <w:lang w:eastAsia="en-GB"/>
                    </w:rPr>
                  </w:pPr>
                  <w:r w:rsidRPr="00BB2515">
                    <w:rPr>
                      <w:highlight w:val="red"/>
                    </w:rPr>
                    <w:t>18.14 is removed by resolution of the Council Member pursuant to Article 14. Powers of the Board 19. Subject to the provisions of the Act, directions of the Council Member in general meeting and the Memorandum and the Articles, the business of the Organisation shall be managed by the Board who may exercise all the powers of the Organisation. No alteration of the Memorandum or Articles or directions of the Council Member shall invalidate any prior act of the Board which would have been valid if that alteration had not been made. The powers given by this Article shall not be limited by any special power given to the Board by the Articles and a meeting of the Board at which a quorum is present may exercise all powers exercisable by the Board. 20. The Board may, by power of attorney or otherwise, appoint any person to be the agent of the Organisation for such purposes and on such conditions as they determine, including authority for the agent to delegate all or any of his powers.</w:t>
                  </w:r>
                </w:p>
                <w:p w14:paraId="00C93C14" w14:textId="77777777" w:rsidR="003F0345" w:rsidRPr="00BB2515" w:rsidRDefault="003F0345" w:rsidP="003F0345">
                  <w:pPr>
                    <w:ind w:left="0" w:firstLine="0"/>
                    <w:rPr>
                      <w:color w:val="ED7D31" w:themeColor="accent2"/>
                      <w:highlight w:val="red"/>
                      <w:lang w:eastAsia="en-GB"/>
                    </w:rPr>
                  </w:pPr>
                </w:p>
              </w:tc>
            </w:tr>
          </w:tbl>
          <w:p w14:paraId="4B2D7B26" w14:textId="77777777" w:rsidR="003F0345" w:rsidRDefault="003F0345" w:rsidP="004B41E5">
            <w:pPr>
              <w:pStyle w:val="ListParagraph"/>
              <w:ind w:left="1077" w:firstLine="0"/>
              <w:rPr>
                <w:color w:val="A8D08D" w:themeColor="accent6" w:themeTint="99"/>
                <w:lang w:eastAsia="en-GB"/>
              </w:rPr>
            </w:pPr>
          </w:p>
          <w:p w14:paraId="10030963" w14:textId="77777777" w:rsidR="003F0345" w:rsidRDefault="003F0345" w:rsidP="004B41E5">
            <w:pPr>
              <w:pStyle w:val="ListParagraph"/>
              <w:ind w:left="1077" w:firstLine="0"/>
              <w:rPr>
                <w:color w:val="A8D08D" w:themeColor="accent6" w:themeTint="99"/>
                <w:lang w:eastAsia="en-GB"/>
              </w:rPr>
            </w:pPr>
          </w:p>
          <w:p w14:paraId="28B084A5" w14:textId="77777777" w:rsidR="003F0345" w:rsidRPr="003C1834" w:rsidRDefault="003F0345" w:rsidP="004B41E5">
            <w:pPr>
              <w:pStyle w:val="ListParagraph"/>
              <w:ind w:left="1077" w:firstLine="0"/>
              <w:rPr>
                <w:color w:val="A8D08D" w:themeColor="accent6" w:themeTint="99"/>
                <w:lang w:eastAsia="en-GB"/>
              </w:rPr>
            </w:pPr>
          </w:p>
          <w:p w14:paraId="1A8F4A02" w14:textId="5CCA04CD" w:rsidR="008B1BA4" w:rsidRPr="00A961CF" w:rsidRDefault="00BB2515" w:rsidP="00A961CF">
            <w:pPr>
              <w:pStyle w:val="ListParagraph"/>
              <w:numPr>
                <w:ilvl w:val="0"/>
                <w:numId w:val="98"/>
              </w:numPr>
              <w:rPr>
                <w:color w:val="A8D08D" w:themeColor="accent6" w:themeTint="99"/>
                <w:lang w:eastAsia="en-GB"/>
              </w:rPr>
            </w:pPr>
            <w:r w:rsidRPr="00BB2515">
              <w:rPr>
                <w:color w:val="A8D08D" w:themeColor="accent6" w:themeTint="99"/>
                <w:lang w:eastAsia="en-GB"/>
              </w:rPr>
              <w:t>As seen</w:t>
            </w:r>
            <w:r w:rsidRPr="00BB2515">
              <w:rPr>
                <w:color w:val="A8D08D" w:themeColor="accent6" w:themeTint="99"/>
                <w:lang w:eastAsia="en-GB"/>
              </w:rPr>
              <w:t xml:space="preserve"> </w:t>
            </w:r>
            <w:r>
              <w:rPr>
                <w:color w:val="A8D08D" w:themeColor="accent6" w:themeTint="99"/>
                <w:lang w:eastAsia="en-GB"/>
              </w:rPr>
              <w:t xml:space="preserve">and </w:t>
            </w:r>
            <w:r w:rsidR="004B41E5" w:rsidRPr="003C1834">
              <w:rPr>
                <w:color w:val="A8D08D" w:themeColor="accent6" w:themeTint="99"/>
                <w:lang w:eastAsia="en-GB"/>
              </w:rPr>
              <w:t xml:space="preserve">Contained within the Prosecutions Skeleton Argument, the Prosecutor </w:t>
            </w:r>
          </w:p>
          <w:p w14:paraId="21CA5497" w14:textId="77777777" w:rsidR="008B1BA4" w:rsidRDefault="008B1BA4" w:rsidP="008B1BA4">
            <w:pPr>
              <w:pStyle w:val="ListParagraph"/>
              <w:ind w:left="1077" w:firstLine="0"/>
              <w:rPr>
                <w:lang w:eastAsia="en-GB"/>
              </w:rPr>
            </w:pPr>
            <w:r w:rsidRPr="00743E79">
              <w:rPr>
                <w:b/>
                <w:bCs/>
                <w:u w:val="single"/>
                <w:lang w:eastAsia="en-GB"/>
              </w:rPr>
              <w:t>Exhibit</w:t>
            </w:r>
            <w:r w:rsidRPr="00743E79">
              <w:rPr>
                <w:lang w:eastAsia="en-GB"/>
              </w:rPr>
              <w:t>: --</w:t>
            </w:r>
          </w:p>
          <w:p w14:paraId="5C6C1F44" w14:textId="77777777" w:rsidR="008B1BA4" w:rsidRPr="008B1BA4" w:rsidRDefault="008B1BA4" w:rsidP="008B1BA4">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790228" w:rsidRPr="00B36505" w14:paraId="3A92E503" w14:textId="77777777" w:rsidTr="00B7230F">
              <w:trPr>
                <w:jc w:val="center"/>
              </w:trPr>
              <w:tc>
                <w:tcPr>
                  <w:tcW w:w="8082" w:type="dxa"/>
                </w:tcPr>
                <w:p w14:paraId="269163AE" w14:textId="77777777" w:rsidR="00790228" w:rsidRPr="00B36505" w:rsidRDefault="00790228" w:rsidP="00790228">
                  <w:pPr>
                    <w:ind w:left="0" w:firstLine="0"/>
                    <w:rPr>
                      <w:lang w:eastAsia="en-GB"/>
                    </w:rPr>
                  </w:pPr>
                </w:p>
                <w:p w14:paraId="32A9D2F8" w14:textId="77777777" w:rsidR="00790228" w:rsidRPr="00310A6A" w:rsidRDefault="00790228" w:rsidP="00790228">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380F35E2" w14:textId="77777777" w:rsidR="00790228" w:rsidRPr="00B36505" w:rsidRDefault="00790228" w:rsidP="00790228">
                  <w:pPr>
                    <w:ind w:left="0" w:firstLine="0"/>
                    <w:rPr>
                      <w:lang w:eastAsia="en-GB"/>
                    </w:rPr>
                  </w:pPr>
                </w:p>
              </w:tc>
            </w:tr>
            <w:tr w:rsidR="00790228" w14:paraId="30C6E5C5" w14:textId="77777777" w:rsidTr="00B7230F">
              <w:trPr>
                <w:jc w:val="center"/>
              </w:trPr>
              <w:tc>
                <w:tcPr>
                  <w:tcW w:w="8082" w:type="dxa"/>
                </w:tcPr>
                <w:p w14:paraId="306869A0" w14:textId="77777777" w:rsidR="00790228" w:rsidRDefault="00790228" w:rsidP="00790228">
                  <w:pPr>
                    <w:ind w:left="0" w:firstLine="0"/>
                    <w:jc w:val="center"/>
                    <w:rPr>
                      <w:b/>
                      <w:bCs/>
                      <w:u w:val="single"/>
                    </w:rPr>
                  </w:pPr>
                </w:p>
                <w:p w14:paraId="30A8E82E" w14:textId="77777777" w:rsidR="00790228" w:rsidRDefault="00790228" w:rsidP="00790228">
                  <w:pPr>
                    <w:ind w:left="0" w:firstLine="0"/>
                    <w:jc w:val="center"/>
                    <w:rPr>
                      <w:b/>
                      <w:bCs/>
                      <w:u w:val="single"/>
                    </w:rPr>
                  </w:pPr>
                  <w:r w:rsidRPr="00827436">
                    <w:rPr>
                      <w:b/>
                      <w:bCs/>
                      <w:u w:val="single"/>
                    </w:rPr>
                    <w:t>Disqualification and Removal of Board Members</w:t>
                  </w:r>
                </w:p>
                <w:p w14:paraId="5AE00A5F" w14:textId="77777777" w:rsidR="00790228" w:rsidRPr="00827436" w:rsidRDefault="00790228" w:rsidP="00790228">
                  <w:pPr>
                    <w:ind w:left="0" w:firstLine="0"/>
                    <w:jc w:val="center"/>
                    <w:rPr>
                      <w:b/>
                      <w:bCs/>
                      <w:u w:val="single"/>
                    </w:rPr>
                  </w:pPr>
                </w:p>
                <w:p w14:paraId="5FFABA4C" w14:textId="77777777" w:rsidR="00790228" w:rsidRPr="00D15B0E" w:rsidRDefault="00790228" w:rsidP="00790228">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30C9E302" w14:textId="77777777" w:rsidR="00790228" w:rsidRDefault="00790228" w:rsidP="00790228">
                  <w:pPr>
                    <w:ind w:left="0" w:firstLine="0"/>
                    <w:rPr>
                      <w:b/>
                      <w:bCs/>
                      <w:u w:val="single"/>
                      <w:lang w:eastAsia="en-GB"/>
                    </w:rPr>
                  </w:pPr>
                  <w:r w:rsidRPr="00D15B0E">
                    <w:rPr>
                      <w:b/>
                      <w:bCs/>
                      <w:u w:val="single"/>
                      <w:lang w:eastAsia="en-GB"/>
                    </w:rPr>
                    <w:t>ROBERT TALALAY</w:t>
                  </w:r>
                </w:p>
                <w:p w14:paraId="4C167EB2" w14:textId="77777777" w:rsidR="00790228" w:rsidRDefault="00790228" w:rsidP="00790228">
                  <w:pPr>
                    <w:ind w:left="0" w:firstLine="0"/>
                    <w:rPr>
                      <w:b/>
                      <w:bCs/>
                      <w:u w:val="single"/>
                      <w:lang w:eastAsia="en-GB"/>
                    </w:rPr>
                  </w:pPr>
                  <w:r w:rsidRPr="00D15B0E">
                    <w:rPr>
                      <w:b/>
                      <w:bCs/>
                      <w:u w:val="single"/>
                      <w:lang w:eastAsia="en-GB"/>
                    </w:rPr>
                    <w:t>January 2016</w:t>
                  </w:r>
                </w:p>
                <w:p w14:paraId="16074AA2" w14:textId="77777777" w:rsidR="00790228" w:rsidRDefault="00790228" w:rsidP="00790228">
                  <w:pPr>
                    <w:ind w:left="0" w:firstLine="0"/>
                    <w:rPr>
                      <w:color w:val="ED7D31" w:themeColor="accent2"/>
                      <w:lang w:eastAsia="en-GB"/>
                    </w:rPr>
                  </w:pPr>
                </w:p>
              </w:tc>
            </w:tr>
          </w:tbl>
          <w:p w14:paraId="756EE17F" w14:textId="77777777" w:rsidR="008B1BA4" w:rsidRDefault="008B1BA4" w:rsidP="008B1BA4">
            <w:pPr>
              <w:pStyle w:val="ListParagraph"/>
              <w:ind w:left="1077" w:firstLine="0"/>
              <w:rPr>
                <w:color w:val="A8D08D" w:themeColor="accent6" w:themeTint="99"/>
                <w:lang w:eastAsia="en-GB"/>
              </w:rPr>
            </w:pPr>
          </w:p>
          <w:p w14:paraId="79FCD3DE" w14:textId="77777777" w:rsidR="00A961CF" w:rsidRPr="00BB2515" w:rsidRDefault="00A961CF" w:rsidP="00BB2515">
            <w:pPr>
              <w:ind w:left="0" w:firstLine="0"/>
              <w:rPr>
                <w:color w:val="A8D08D" w:themeColor="accent6" w:themeTint="99"/>
                <w:lang w:eastAsia="en-GB"/>
              </w:rPr>
            </w:pPr>
          </w:p>
          <w:p w14:paraId="4F3DCB5D" w14:textId="13D093CE" w:rsidR="004B41E5" w:rsidRPr="00A961CF" w:rsidRDefault="008B1BA4" w:rsidP="00A961CF">
            <w:pPr>
              <w:pStyle w:val="ListParagraph"/>
              <w:numPr>
                <w:ilvl w:val="0"/>
                <w:numId w:val="98"/>
              </w:numPr>
              <w:rPr>
                <w:color w:val="A8D08D" w:themeColor="accent6" w:themeTint="99"/>
                <w:lang w:eastAsia="en-GB"/>
              </w:rPr>
            </w:pPr>
            <w:r>
              <w:rPr>
                <w:color w:val="A8D08D" w:themeColor="accent6" w:themeTint="99"/>
                <w:lang w:eastAsia="en-GB"/>
              </w:rPr>
              <w:t>Who the Claimant hires Equipment to as if in to mean the Rich, Middle-Ranged or the Poor people who are Citizens of the United Kingdom.</w:t>
            </w:r>
          </w:p>
          <w:p w14:paraId="10AF7E5D" w14:textId="77777777" w:rsidR="004B41E5" w:rsidRDefault="004B41E5" w:rsidP="004B41E5">
            <w:pPr>
              <w:pStyle w:val="ListParagraph"/>
              <w:ind w:left="1077" w:firstLine="0"/>
              <w:rPr>
                <w:lang w:eastAsia="en-GB"/>
              </w:rPr>
            </w:pPr>
            <w:r w:rsidRPr="00743E79">
              <w:rPr>
                <w:b/>
                <w:bCs/>
                <w:u w:val="single"/>
                <w:lang w:eastAsia="en-GB"/>
              </w:rPr>
              <w:t>Exhibit</w:t>
            </w:r>
            <w:r w:rsidRPr="00743E79">
              <w:rPr>
                <w:lang w:eastAsia="en-GB"/>
              </w:rPr>
              <w:t>: --</w:t>
            </w:r>
          </w:p>
          <w:p w14:paraId="2CA0A42E" w14:textId="77777777" w:rsidR="00A961CF" w:rsidRDefault="00A961CF" w:rsidP="004B41E5">
            <w:pPr>
              <w:pStyle w:val="ListParagraph"/>
              <w:ind w:left="1077" w:firstLine="0"/>
              <w:rPr>
                <w:lang w:eastAsia="en-GB"/>
              </w:rPr>
            </w:pPr>
          </w:p>
          <w:p w14:paraId="0F7C671E" w14:textId="77777777" w:rsidR="006B0509" w:rsidRDefault="006B0509" w:rsidP="00790228">
            <w:pPr>
              <w:ind w:left="0" w:firstLine="0"/>
              <w:rPr>
                <w:lang w:eastAsia="en-GB"/>
              </w:rPr>
            </w:pPr>
          </w:p>
          <w:p w14:paraId="6A20EB48" w14:textId="77777777" w:rsidR="006B0509" w:rsidRPr="006B0509" w:rsidRDefault="006B0509" w:rsidP="00A961CF">
            <w:pPr>
              <w:ind w:left="357" w:firstLine="0"/>
              <w:rPr>
                <w:lang w:eastAsia="en-GB"/>
              </w:rPr>
            </w:pPr>
            <w:r w:rsidRPr="006B0509">
              <w:rPr>
                <w:lang w:eastAsia="en-GB"/>
              </w:rPr>
              <w:t>The staff involved in developing the Asbo application stated that: "The Asbo will not be..."</w:t>
            </w:r>
          </w:p>
          <w:p w14:paraId="70667758" w14:textId="54F94A95" w:rsidR="00A961CF" w:rsidRPr="00A961CF" w:rsidRDefault="006B0509" w:rsidP="00A961CF">
            <w:pPr>
              <w:ind w:left="357" w:firstLine="0"/>
            </w:pPr>
            <w:r w:rsidRPr="006B0509">
              <w:rPr>
                <w:b/>
                <w:bCs/>
                <w:u w:val="single"/>
                <w:lang w:eastAsia="en-GB"/>
              </w:rPr>
              <w:t>The</w:t>
            </w:r>
            <w:r w:rsidR="00A961CF">
              <w:rPr>
                <w:b/>
                <w:bCs/>
                <w:u w:val="single"/>
                <w:lang w:eastAsia="en-GB"/>
              </w:rPr>
              <w:t xml:space="preserve"> below </w:t>
            </w:r>
            <w:r w:rsidRPr="006B0509">
              <w:rPr>
                <w:b/>
                <w:bCs/>
                <w:u w:val="single"/>
                <w:lang w:eastAsia="en-GB"/>
              </w:rPr>
              <w:t>specific legal references,</w:t>
            </w:r>
            <w:r w:rsidR="00A961CF">
              <w:t xml:space="preserve"> </w:t>
            </w:r>
            <w:r w:rsidR="00A961CF" w:rsidRPr="00A961CF">
              <w:rPr>
                <w:b/>
                <w:bCs/>
                <w:u w:val="single"/>
                <w:lang w:eastAsia="en-GB"/>
              </w:rPr>
              <w:t>have far-reaching implications</w:t>
            </w:r>
            <w:r w:rsidR="00A961CF">
              <w:rPr>
                <w:b/>
                <w:bCs/>
                <w:u w:val="single"/>
                <w:lang w:eastAsia="en-GB"/>
              </w:rPr>
              <w:t xml:space="preserve"> in respect of the Now Claimant claim brought and </w:t>
            </w:r>
            <w:r w:rsidRPr="006B0509">
              <w:rPr>
                <w:b/>
                <w:bCs/>
                <w:u w:val="single"/>
                <w:lang w:eastAsia="en-GB"/>
              </w:rPr>
              <w:t>including the</w:t>
            </w:r>
            <w:r w:rsidR="00A961CF" w:rsidRPr="00A961CF">
              <w:rPr>
                <w:b/>
                <w:bCs/>
                <w:u w:val="single"/>
                <w:lang w:eastAsia="en-GB"/>
              </w:rPr>
              <w:t>:</w:t>
            </w:r>
            <w:r w:rsidR="00A961CF">
              <w:rPr>
                <w:lang w:eastAsia="en-GB"/>
              </w:rPr>
              <w:t xml:space="preserve"> --</w:t>
            </w:r>
          </w:p>
          <w:p w14:paraId="06AC013C" w14:textId="77777777" w:rsidR="00A961CF" w:rsidRPr="00A961CF" w:rsidRDefault="006B0509" w:rsidP="00A961CF">
            <w:pPr>
              <w:pStyle w:val="ListParagraph"/>
              <w:numPr>
                <w:ilvl w:val="0"/>
                <w:numId w:val="100"/>
              </w:numPr>
            </w:pPr>
            <w:r w:rsidRPr="006B0509">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A961CF">
            <w:pPr>
              <w:ind w:left="357" w:firstLine="0"/>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A961CF">
            <w:pPr>
              <w:ind w:left="357" w:firstLine="0"/>
              <w:rPr>
                <w:lang w:eastAsia="en-GB"/>
              </w:rPr>
            </w:pPr>
            <w:r w:rsidRPr="006B0509">
              <w:rPr>
                <w:lang w:eastAsia="en-GB"/>
              </w:rPr>
              <w:t>This issue is of paramount importance, not only for the Now Claimant's personal well-being but also for maintaining justice and integrity within our legal system.</w:t>
            </w:r>
          </w:p>
          <w:p w14:paraId="236760BF" w14:textId="77777777" w:rsidR="00586491" w:rsidRDefault="00586491" w:rsidP="00D54110">
            <w:pPr>
              <w:ind w:left="357" w:firstLine="0"/>
              <w:rPr>
                <w:lang w:eastAsia="en-GB"/>
              </w:rPr>
            </w:pPr>
          </w:p>
          <w:p w14:paraId="5D666BEA" w14:textId="77777777" w:rsidR="00586491" w:rsidRDefault="00586491" w:rsidP="00D54110">
            <w:pPr>
              <w:ind w:left="357" w:firstLine="0"/>
              <w:rPr>
                <w:lang w:eastAsia="en-GB"/>
              </w:rPr>
            </w:pPr>
          </w:p>
          <w:p w14:paraId="64046A19" w14:textId="77777777" w:rsidR="00586491" w:rsidRDefault="00586491" w:rsidP="00D54110">
            <w:pPr>
              <w:ind w:left="357" w:firstLine="0"/>
              <w:rPr>
                <w:lang w:eastAsia="en-GB"/>
              </w:rPr>
            </w:pPr>
          </w:p>
          <w:p w14:paraId="4BFB624B" w14:textId="77777777" w:rsidR="00586491" w:rsidRDefault="00586491" w:rsidP="00D54110">
            <w:pPr>
              <w:ind w:left="357" w:firstLine="0"/>
              <w:rPr>
                <w:lang w:eastAsia="en-GB"/>
              </w:rPr>
            </w:pPr>
          </w:p>
          <w:p w14:paraId="67360528" w14:textId="77777777" w:rsidR="00586491" w:rsidRDefault="00586491" w:rsidP="00D54110">
            <w:pPr>
              <w:ind w:left="357" w:firstLine="0"/>
              <w:rPr>
                <w:lang w:eastAsia="en-GB"/>
              </w:rPr>
            </w:pPr>
          </w:p>
          <w:p w14:paraId="67ECBBD4" w14:textId="77777777" w:rsidR="00586491" w:rsidRDefault="00586491" w:rsidP="00D54110">
            <w:pPr>
              <w:ind w:left="357" w:firstLine="0"/>
              <w:rPr>
                <w:lang w:eastAsia="en-GB"/>
              </w:rPr>
            </w:pPr>
          </w:p>
          <w:p w14:paraId="0395D93E" w14:textId="77777777" w:rsidR="00586491" w:rsidRDefault="00586491" w:rsidP="00D54110">
            <w:pPr>
              <w:ind w:left="357" w:firstLine="0"/>
              <w:rPr>
                <w:lang w:eastAsia="en-GB"/>
              </w:rPr>
            </w:pPr>
          </w:p>
          <w:p w14:paraId="109461EA" w14:textId="77777777" w:rsidR="00586491" w:rsidRPr="00D54110" w:rsidRDefault="00586491" w:rsidP="00D54110">
            <w:pPr>
              <w:ind w:left="357"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77777777"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However, the actions of The Metropolitan Police Force, The Enfield Council, and their Subsidiary Companies staff in forging documents to obtain an Anti-Social Behaviour Order</w:t>
            </w:r>
            <w:r w:rsidRPr="001C7C25">
              <w:rPr>
                <w:rFonts w:cs="Times New Roman"/>
                <w:b/>
                <w:bCs/>
                <w:szCs w:val="24"/>
                <w:lang w:eastAsia="en-GB"/>
              </w:rPr>
              <w:t xml:space="preserve"> “</w:t>
            </w:r>
            <w:r w:rsidRPr="001C7C25">
              <w:rPr>
                <w:rFonts w:cs="Times New Roman"/>
                <w:b/>
                <w:bCs/>
                <w:szCs w:val="24"/>
                <w:u w:val="single"/>
                <w:lang w:eastAsia="en-GB"/>
              </w:rPr>
              <w:t>Asbo</w:t>
            </w:r>
            <w:r w:rsidRPr="001C7C25">
              <w:rPr>
                <w:rFonts w:cs="Times New Roman"/>
                <w:b/>
                <w:bCs/>
                <w:szCs w:val="24"/>
                <w:lang w:eastAsia="en-GB"/>
              </w:rPr>
              <w:t>”</w:t>
            </w:r>
            <w:r w:rsidRPr="001C7C25">
              <w:rPr>
                <w:rFonts w:cs="Times New Roman"/>
                <w:szCs w:val="24"/>
                <w:lang w:eastAsia="en-GB"/>
              </w:rPr>
              <w:t xml:space="preserve"> in the Now Claimants name, followed by the Fabrication of Additional Official Court Orders, and later involving </w:t>
            </w:r>
            <w:r w:rsidRPr="001C7C25">
              <w:rPr>
                <w:rFonts w:cs="Times New Roman"/>
                <w:b/>
                <w:bCs/>
                <w:szCs w:val="24"/>
                <w:lang w:eastAsia="en-GB"/>
              </w:rPr>
              <w:t>“</w:t>
            </w:r>
            <w:r w:rsidRPr="001C7C25">
              <w:rPr>
                <w:rFonts w:cs="Times New Roman"/>
                <w:b/>
                <w:bCs/>
                <w:szCs w:val="24"/>
                <w:u w:val="single"/>
                <w:lang w:eastAsia="en-GB"/>
              </w:rPr>
              <w:t>Mental Health Teams as A Weapon</w:t>
            </w:r>
            <w:r w:rsidRPr="001C7C25">
              <w:rPr>
                <w:rFonts w:cs="Times New Roman"/>
                <w:b/>
                <w:bCs/>
                <w:szCs w:val="24"/>
                <w:lang w:eastAsia="en-GB"/>
              </w:rPr>
              <w:t>”</w:t>
            </w:r>
            <w:r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77777777"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7898D706" w14:textId="77777777" w:rsidR="008B2756" w:rsidRDefault="008B2756" w:rsidP="005B608E">
            <w:pPr>
              <w:pStyle w:val="ListParagraph"/>
              <w:ind w:left="737" w:firstLine="0"/>
              <w:rPr>
                <w:rFonts w:cs="Times New Roman"/>
                <w:szCs w:val="24"/>
                <w:lang w:eastAsia="en-GB"/>
              </w:rPr>
            </w:pPr>
          </w:p>
          <w:p w14:paraId="6D8AD888"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lastRenderedPageBreak/>
              <w:t>E. Legal Breaches and Consequences:</w:t>
            </w:r>
          </w:p>
          <w:p w14:paraId="02A1D51F"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The actions of The Metropolitan Police Force, The Enfield Council, and their Subsidiary Companies staff in forging documents to obtain an Anti-Social Behaviour Order (Asbo) in the Now Claimant's name, followed by the fabrication of additional official court orders and the involvement of "Mental Health Teams as A Weapon," have raised serious legal issues.</w:t>
            </w:r>
          </w:p>
          <w:p w14:paraId="1579A61C"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These actions may have potentially breached the "Ill-Treatment of Patients and Mental Health Act 1983 S.127." Furthermore, the creation of a falsified mental health history about the Now Claimant has long-term implications for his life. This undue interference with his character, involving slander and extensive fraudulent documentation, aims to obstruct justice and undermine the credibility of his claims.</w:t>
            </w:r>
          </w:p>
          <w:p w14:paraId="72B327A6" w14:textId="77777777" w:rsidR="00A150EB" w:rsidRDefault="00A150EB" w:rsidP="005B608E">
            <w:pPr>
              <w:pStyle w:val="ListParagraph"/>
              <w:ind w:left="737" w:firstLine="0"/>
              <w:rPr>
                <w:rFonts w:cs="Times New Roman"/>
                <w:szCs w:val="24"/>
                <w:lang w:eastAsia="en-GB"/>
              </w:rPr>
            </w:pPr>
          </w:p>
          <w:p w14:paraId="02ED8819" w14:textId="77777777" w:rsidR="00A150EB" w:rsidRPr="001C7C25" w:rsidRDefault="00A150EB" w:rsidP="005B608E">
            <w:pPr>
              <w:pStyle w:val="ListParagraph"/>
              <w:ind w:left="737" w:firstLine="0"/>
              <w:rPr>
                <w:rFonts w:cs="Times New Roman"/>
                <w:szCs w:val="24"/>
                <w:lang w:eastAsia="en-GB"/>
              </w:rPr>
            </w:pPr>
          </w:p>
          <w:p w14:paraId="1A7DE9B5"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Suffering and Unjust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584E3249"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F. The Claimant's Sufferings Caused by The Accused Unjust Actions &amp; Their Consequences:</w:t>
            </w:r>
          </w:p>
          <w:p w14:paraId="4AEC1135"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For instance, the volume of fabricated documentation is so overwhelming that, in the event of the Now Claimant being arrested, no police custody officer can reasonably review the extensive records during booking. Consequently, he would likely be deemed unfit for interview and referred for a mental health assessment, based on the officers' mistaken belief in the amount of official paperwork undermining the Now Claimant's mental stability.</w:t>
            </w:r>
          </w:p>
          <w:p w14:paraId="5D5CED4D" w14:textId="77777777" w:rsidR="00A150EB" w:rsidRPr="00116E67" w:rsidRDefault="00A150EB" w:rsidP="00A150E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 xml:space="preserve">This misclassification leads to the Now Claimant being wrongfully transferred to a hospital for assessment, potentially lasting up to 28 days, with the possibility of </w:t>
            </w:r>
            <w:r w:rsidRPr="00116E67">
              <w:rPr>
                <w:rFonts w:ascii="Segoe UI" w:eastAsia="Times New Roman" w:hAnsi="Segoe UI" w:cs="Segoe UI"/>
                <w:color w:val="374151"/>
                <w:kern w:val="0"/>
                <w:szCs w:val="24"/>
                <w:lang w:eastAsia="en-GB"/>
                <w14:ligatures w14:val="none"/>
              </w:rPr>
              <w:lastRenderedPageBreak/>
              <w:t>further extension for treatment as a mental health patient. This is unjustified by law and has profound implications for the Now Claimant's well-being, reputation, and future employment prospects.</w:t>
            </w:r>
          </w:p>
          <w:p w14:paraId="65D48F93" w14:textId="77777777" w:rsidR="005B608E" w:rsidRDefault="005B608E" w:rsidP="005B608E">
            <w:pPr>
              <w:pStyle w:val="ListParagraph"/>
              <w:ind w:left="737" w:firstLine="0"/>
              <w:rPr>
                <w:rFonts w:cs="Times New Roman"/>
                <w:szCs w:val="24"/>
                <w:lang w:eastAsia="en-GB"/>
              </w:rPr>
            </w:pPr>
          </w:p>
          <w:p w14:paraId="17551D78" w14:textId="77777777" w:rsidR="00A150EB" w:rsidRPr="001C7C25" w:rsidRDefault="00A150EB" w:rsidP="005B608E">
            <w:pPr>
              <w:pStyle w:val="ListParagraph"/>
              <w:ind w:left="737"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55CA151F"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4992951"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4B7FF92F" w14:textId="77777777" w:rsidR="00116E67" w:rsidRPr="00116E67" w:rsidRDefault="00116E67" w:rsidP="00116E67">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G. Payouts, Legal Recourse, And Future Implications to The Now the Claimant:</w:t>
            </w:r>
          </w:p>
          <w:p w14:paraId="0787623C" w14:textId="77777777" w:rsidR="00116E67" w:rsidRPr="00116E67" w:rsidRDefault="00116E67" w:rsidP="00116E67">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These egregious actions have caused immense suffering to the Now Claimant and raised issues of legal liability, including this claim for compensation and legal recourse. These breaches by The Metropolitan Police Force, The Enfield Council, and their Subsidiary Companies staff must be addressed.</w:t>
            </w:r>
          </w:p>
          <w:p w14:paraId="6FD04952" w14:textId="77777777" w:rsidR="00116E67" w:rsidRPr="00116E67" w:rsidRDefault="00116E67" w:rsidP="00116E67">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Considering the suffering endured and the wrongful imposition of sentences, it is imperative that the legal system recognizes the severe impact of these wrongful actions on the Now Claimant, who has unfairly suffered a diminished quality of life and tarnished future and past opportunities.</w:t>
            </w:r>
          </w:p>
          <w:p w14:paraId="2499D177" w14:textId="77777777" w:rsidR="00116E67" w:rsidRPr="00116E67" w:rsidRDefault="00116E67" w:rsidP="00116E67">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116E67">
              <w:rPr>
                <w:rFonts w:ascii="Segoe UI" w:eastAsia="Times New Roman" w:hAnsi="Segoe UI" w:cs="Segoe UI"/>
                <w:color w:val="374151"/>
                <w:kern w:val="0"/>
                <w:szCs w:val="24"/>
                <w:lang w:eastAsia="en-GB"/>
                <w14:ligatures w14:val="none"/>
              </w:rPr>
              <w:t>The legal implications of these breaches and the potential for restitution or compensation should be thoroughly considered. 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77777777" w:rsidR="00116E67" w:rsidRDefault="00116E67">
            <w:pPr>
              <w:ind w:left="0" w:firstLine="0"/>
            </w:pP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lastRenderedPageBreak/>
              <w:t>Employee Misconduct</w:t>
            </w:r>
          </w:p>
          <w:p w14:paraId="1C82AFEA" w14:textId="77777777" w:rsidR="002F2D30" w:rsidRPr="001C7C25" w:rsidRDefault="002F2D30" w:rsidP="00B7230F">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7B856655"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5. ADDRESSING FUTURE CONCERNS</w:t>
            </w:r>
          </w:p>
          <w:p w14:paraId="47B3C90F"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A. </w:t>
            </w:r>
            <w:r w:rsidRPr="00492579">
              <w:rPr>
                <w:rFonts w:ascii="Segoe UI" w:eastAsia="Times New Roman" w:hAnsi="Segoe UI" w:cs="Segoe UI"/>
                <w:b/>
                <w:bCs/>
                <w:color w:val="374151"/>
                <w:kern w:val="0"/>
                <w:szCs w:val="24"/>
                <w:bdr w:val="single" w:sz="2" w:space="0" w:color="D9D9E3" w:frame="1"/>
                <w:lang w:eastAsia="en-GB"/>
                <w14:ligatures w14:val="none"/>
              </w:rPr>
              <w:t>Employee Misconduct</w:t>
            </w:r>
          </w:p>
          <w:p w14:paraId="573519CB" w14:textId="77777777" w:rsidR="00492579" w:rsidRPr="00492579" w:rsidRDefault="00492579" w:rsidP="00492579">
            <w:pPr>
              <w:numPr>
                <w:ilvl w:val="0"/>
                <w:numId w:val="8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Within the Metropolitan Police Force and The Enfield Council, along with Their Subsidiary Companies.</w:t>
            </w:r>
          </w:p>
          <w:p w14:paraId="5CA37288" w14:textId="77777777" w:rsidR="002F2D30" w:rsidRDefault="002F2D30" w:rsidP="00B7230F">
            <w:pPr>
              <w:pStyle w:val="ListParagraph"/>
              <w:ind w:firstLine="0"/>
              <w:rPr>
                <w:rFonts w:cs="Times New Roman"/>
                <w:kern w:val="0"/>
                <w:szCs w:val="24"/>
                <w14:ligatures w14:val="none"/>
              </w:rPr>
            </w:pPr>
          </w:p>
          <w:p w14:paraId="50B64517" w14:textId="77777777" w:rsidR="00492579" w:rsidRPr="00492579" w:rsidRDefault="00492579" w:rsidP="00492579">
            <w:pPr>
              <w:ind w:left="0"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5387EA38" w14:textId="708F7390" w:rsidR="002F2D30" w:rsidRPr="00492579" w:rsidRDefault="002F2D30" w:rsidP="00492579">
            <w:pPr>
              <w:pStyle w:val="ListParagraph"/>
              <w:numPr>
                <w:ilvl w:val="0"/>
                <w:numId w:val="53"/>
              </w:numPr>
              <w:rPr>
                <w:rFonts w:cs="Times New Roman"/>
                <w:szCs w:val="24"/>
                <w:lang w:eastAsia="en-GB"/>
              </w:rPr>
            </w:pPr>
            <w:r w:rsidRPr="001C7C25">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70F8FA36"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B. </w:t>
            </w:r>
            <w:r w:rsidRPr="00492579">
              <w:rPr>
                <w:rFonts w:ascii="Segoe UI" w:eastAsia="Times New Roman" w:hAnsi="Segoe UI" w:cs="Segoe UI"/>
                <w:b/>
                <w:bCs/>
                <w:color w:val="374151"/>
                <w:kern w:val="0"/>
                <w:szCs w:val="24"/>
                <w:bdr w:val="single" w:sz="2" w:space="0" w:color="D9D9E3" w:frame="1"/>
                <w:lang w:eastAsia="en-GB"/>
                <w14:ligatures w14:val="none"/>
              </w:rPr>
              <w:t>Immediate Suspension Pending Investigation</w:t>
            </w:r>
          </w:p>
          <w:p w14:paraId="1AA3ED58" w14:textId="77777777" w:rsidR="00492579" w:rsidRPr="00492579" w:rsidRDefault="00492579" w:rsidP="00492579">
            <w:pPr>
              <w:numPr>
                <w:ilvl w:val="0"/>
                <w:numId w:val="8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To address instances of alleged misconduct involving various members of staff within the Metropolitan Police Force, The Enfield Council, and their Subsidiary Companies, we recommend the implementation of a procedure known as:</w:t>
            </w:r>
          </w:p>
          <w:p w14:paraId="14DCAD81" w14:textId="77777777" w:rsidR="00492579" w:rsidRPr="001C7C25" w:rsidRDefault="00492579" w:rsidP="00B7230F">
            <w:pPr>
              <w:pStyle w:val="ListParagraph"/>
              <w:ind w:firstLine="0"/>
              <w:rPr>
                <w:rFonts w:cs="Times New Roman"/>
                <w:kern w:val="0"/>
                <w:szCs w:val="24"/>
                <w14:ligatures w14:val="none"/>
              </w:rPr>
            </w:pPr>
          </w:p>
          <w:p w14:paraId="2031532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77777777" w:rsidR="002F2D30" w:rsidRPr="001C7C25" w:rsidRDefault="002F2D30" w:rsidP="00B7230F">
            <w:pPr>
              <w:pStyle w:val="ListParagraph"/>
              <w:numPr>
                <w:ilvl w:val="0"/>
                <w:numId w:val="43"/>
              </w:numPr>
              <w:rPr>
                <w:rFonts w:cs="Times New Roman"/>
                <w:szCs w:val="24"/>
              </w:rPr>
            </w:pPr>
            <w:r w:rsidRPr="001C7C25">
              <w:rPr>
                <w:rFonts w:cs="Times New Roman"/>
                <w:szCs w:val="24"/>
              </w:rPr>
              <w:t>Immediate suspension action should be taken against the listed staff members pending thorough investigations into their conduct.</w:t>
            </w:r>
          </w:p>
          <w:p w14:paraId="4E7077D1" w14:textId="009983F2" w:rsidR="002F2D30" w:rsidRPr="00492579"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03161521"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C. </w:t>
            </w:r>
            <w:r w:rsidRPr="00492579">
              <w:rPr>
                <w:rFonts w:ascii="Segoe UI" w:eastAsia="Times New Roman" w:hAnsi="Segoe UI" w:cs="Segoe UI"/>
                <w:b/>
                <w:bCs/>
                <w:color w:val="374151"/>
                <w:kern w:val="0"/>
                <w:szCs w:val="24"/>
                <w:bdr w:val="single" w:sz="2" w:space="0" w:color="D9D9E3" w:frame="1"/>
                <w:lang w:eastAsia="en-GB"/>
                <w14:ligatures w14:val="none"/>
              </w:rPr>
              <w:t>Suspension Pending Enquiry</w:t>
            </w:r>
          </w:p>
          <w:p w14:paraId="01354066" w14:textId="77777777" w:rsidR="00492579" w:rsidRPr="00492579" w:rsidRDefault="00492579" w:rsidP="00492579">
            <w:pPr>
              <w:numPr>
                <w:ilvl w:val="0"/>
                <w:numId w:val="9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Swift suspension action should be initiated against the identified staff members while comprehensive investigations into their conduct are conducted.</w:t>
            </w:r>
          </w:p>
          <w:p w14:paraId="72F43F61" w14:textId="77777777" w:rsidR="00492579" w:rsidRPr="00492579" w:rsidRDefault="00492579" w:rsidP="00492579">
            <w:pPr>
              <w:numPr>
                <w:ilvl w:val="1"/>
                <w:numId w:val="90"/>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i/>
                <w:iCs/>
                <w:color w:val="374151"/>
                <w:kern w:val="0"/>
                <w:szCs w:val="24"/>
                <w:bdr w:val="single" w:sz="2" w:space="0" w:color="D9D9E3" w:frame="1"/>
                <w:lang w:eastAsia="en-GB"/>
                <w14:ligatures w14:val="none"/>
              </w:rPr>
              <w:t xml:space="preserve">For your convenience, you can access a file containing the list of individuals involved at the following temporary link location: </w:t>
            </w:r>
            <w:hyperlink r:id="rId8" w:tgtFrame="_new" w:history="1">
              <w:r w:rsidRPr="00492579">
                <w:rPr>
                  <w:rFonts w:ascii="Segoe UI" w:eastAsia="Times New Roman" w:hAnsi="Segoe UI" w:cs="Segoe UI"/>
                  <w:i/>
                  <w:iCs/>
                  <w:color w:val="0000FF"/>
                  <w:kern w:val="0"/>
                  <w:szCs w:val="24"/>
                  <w:u w:val="single"/>
                  <w:bdr w:val="single" w:sz="2" w:space="0" w:color="D9D9E3" w:frame="1"/>
                  <w:lang w:eastAsia="en-GB"/>
                  <w14:ligatures w14:val="none"/>
                </w:rPr>
                <w:t>Link to List of Involved Individuals</w:t>
              </w:r>
            </w:hyperlink>
          </w:p>
          <w:p w14:paraId="27C31C01" w14:textId="77777777" w:rsidR="00492579" w:rsidRPr="001C7C25" w:rsidRDefault="00492579" w:rsidP="00B7230F">
            <w:pPr>
              <w:pStyle w:val="ListParagraph"/>
              <w:ind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0056E6C"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lastRenderedPageBreak/>
              <w:t xml:space="preserve">D. </w:t>
            </w:r>
            <w:r w:rsidRPr="00492579">
              <w:rPr>
                <w:rFonts w:ascii="Segoe UI" w:eastAsia="Times New Roman" w:hAnsi="Segoe UI" w:cs="Segoe UI"/>
                <w:b/>
                <w:bCs/>
                <w:color w:val="374151"/>
                <w:kern w:val="0"/>
                <w:szCs w:val="24"/>
                <w:bdr w:val="single" w:sz="2" w:space="0" w:color="D9D9E3" w:frame="1"/>
                <w:lang w:eastAsia="en-GB"/>
                <w14:ligatures w14:val="none"/>
              </w:rPr>
              <w:t>Issuance of Suspension Orders and Charge Sheets</w:t>
            </w:r>
          </w:p>
          <w:p w14:paraId="2B69FCE7" w14:textId="77777777" w:rsidR="00492579" w:rsidRPr="00492579" w:rsidRDefault="00492579" w:rsidP="00492579">
            <w:pPr>
              <w:numPr>
                <w:ilvl w:val="0"/>
                <w:numId w:val="9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Under this procedure, we will issue suspension orders along with charge sheets detailing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77777777"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Mr. S. P. Cordell, the Claimant, hereby 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3F89F917"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E. </w:t>
            </w:r>
            <w:r w:rsidRPr="00492579">
              <w:rPr>
                <w:rFonts w:ascii="Segoe UI" w:eastAsia="Times New Roman" w:hAnsi="Segoe UI" w:cs="Segoe UI"/>
                <w:b/>
                <w:bCs/>
                <w:color w:val="374151"/>
                <w:kern w:val="0"/>
                <w:szCs w:val="24"/>
                <w:bdr w:val="single" w:sz="2" w:space="0" w:color="D9D9E3" w:frame="1"/>
                <w:lang w:eastAsia="en-GB"/>
                <w14:ligatures w14:val="none"/>
              </w:rPr>
              <w:t>Suspension Pending Legal Proceedings</w:t>
            </w:r>
          </w:p>
          <w:p w14:paraId="2B25CC83" w14:textId="77777777" w:rsidR="00492579" w:rsidRPr="00492579" w:rsidRDefault="00492579" w:rsidP="00492579">
            <w:pPr>
              <w:numPr>
                <w:ilvl w:val="0"/>
                <w:numId w:val="9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Mr. S. P. Cordell, the Claimant, formally requests that the Metropolitan Police Force, The Enfield Council, and their Subsidiary Companies take the following actions:</w:t>
            </w:r>
            <w:r w:rsidRPr="00492579">
              <w:rPr>
                <w:rFonts w:ascii="Segoe UI" w:eastAsia="Times New Roman" w:hAnsi="Segoe UI" w:cs="Segoe UI"/>
                <w:color w:val="374151"/>
                <w:kern w:val="0"/>
                <w:szCs w:val="24"/>
                <w:lang w:eastAsia="en-GB"/>
                <w14:ligatures w14:val="none"/>
              </w:rPr>
              <w:t xml:space="preserve"> a. </w:t>
            </w:r>
            <w:r w:rsidRPr="00492579">
              <w:rPr>
                <w:rFonts w:ascii="Segoe UI" w:eastAsia="Times New Roman" w:hAnsi="Segoe UI" w:cs="Segoe UI"/>
                <w:b/>
                <w:bCs/>
                <w:color w:val="374151"/>
                <w:kern w:val="0"/>
                <w:szCs w:val="24"/>
                <w:bdr w:val="single" w:sz="2" w:space="0" w:color="D9D9E3" w:frame="1"/>
                <w:lang w:eastAsia="en-GB"/>
                <w14:ligatures w14:val="none"/>
              </w:rPr>
              <w:t>In cases where any Enfield Council employees face allegations of criminal or civil offenses and are required to appear in a court of law, the respective authorities within the organization must initiate the suspension of these employees.</w:t>
            </w:r>
            <w:r w:rsidRPr="00492579">
              <w:rPr>
                <w:rFonts w:ascii="Segoe UI" w:eastAsia="Times New Roman" w:hAnsi="Segoe UI" w:cs="Segoe UI"/>
                <w:color w:val="374151"/>
                <w:kern w:val="0"/>
                <w:szCs w:val="24"/>
                <w:lang w:eastAsia="en-GB"/>
                <w14:ligatures w14:val="none"/>
              </w:rPr>
              <w:t xml:space="preserve"> b. </w:t>
            </w:r>
            <w:r w:rsidRPr="00492579">
              <w:rPr>
                <w:rFonts w:ascii="Segoe UI" w:eastAsia="Times New Roman" w:hAnsi="Segoe UI" w:cs="Segoe UI"/>
                <w:b/>
                <w:bCs/>
                <w:color w:val="374151"/>
                <w:kern w:val="0"/>
                <w:szCs w:val="24"/>
                <w:bdr w:val="single" w:sz="2" w:space="0" w:color="D9D9E3" w:frame="1"/>
                <w:lang w:eastAsia="en-GB"/>
                <w14:ligatures w14:val="none"/>
              </w:rPr>
              <w:t>This suspension should remain in effect throughout the duration of court proceedings and any ongoing investigations due to the gravity of the allegations made against them.</w:t>
            </w:r>
          </w:p>
          <w:p w14:paraId="45CEC6EF" w14:textId="77777777" w:rsidR="002F2D30" w:rsidRPr="001C7C25" w:rsidRDefault="002F2D30" w:rsidP="00B7230F">
            <w:pPr>
              <w:pStyle w:val="ListParagraph"/>
              <w:ind w:left="1440" w:firstLine="0"/>
              <w:rPr>
                <w:rFonts w:cs="Times New Roman"/>
                <w:szCs w:val="24"/>
                <w:lang w:eastAsia="en-GB"/>
              </w:rPr>
            </w:pPr>
          </w:p>
          <w:p w14:paraId="28B287A8" w14:textId="77777777" w:rsidR="002F2D30" w:rsidRPr="001C7C25" w:rsidRDefault="002F2D30" w:rsidP="00B7230F">
            <w:pPr>
              <w:pStyle w:val="ListParagraph"/>
              <w:numPr>
                <w:ilvl w:val="0"/>
                <w:numId w:val="25"/>
              </w:numPr>
              <w:ind w:left="641" w:hanging="284"/>
              <w:rPr>
                <w:rFonts w:cs="Times New Roman"/>
                <w:b/>
                <w:bCs/>
                <w:szCs w:val="24"/>
                <w:u w:val="single"/>
                <w:lang w:eastAsia="en-GB"/>
              </w:rPr>
            </w:pPr>
            <w:r w:rsidRPr="001C7C25">
              <w:rPr>
                <w:rFonts w:cs="Times New Roman"/>
                <w:b/>
                <w:bCs/>
                <w:szCs w:val="24"/>
                <w:u w:val="single"/>
                <w:lang w:eastAsia="en-GB"/>
              </w:rPr>
              <w:t>We Aim to Ensure</w:t>
            </w:r>
          </w:p>
          <w:p w14:paraId="640B00C9" w14:textId="77777777" w:rsidR="002F2D30" w:rsidRPr="001C7C25" w:rsidRDefault="002F2D30" w:rsidP="00B7230F">
            <w:pPr>
              <w:pStyle w:val="ListParagraph"/>
              <w:numPr>
                <w:ilvl w:val="0"/>
                <w:numId w:val="57"/>
              </w:numPr>
              <w:rPr>
                <w:rFonts w:cs="Times New Roman"/>
                <w:szCs w:val="24"/>
                <w:lang w:eastAsia="en-GB"/>
              </w:rPr>
            </w:pPr>
            <w:r w:rsidRPr="001C7C25">
              <w:rPr>
                <w:rFonts w:cs="Times New Roman"/>
                <w:szCs w:val="24"/>
                <w:lang w:eastAsia="en-GB"/>
              </w:rPr>
              <w:t xml:space="preserve">We aim to ensure that by implementing this </w:t>
            </w:r>
            <w:r w:rsidRPr="001C7C25">
              <w:rPr>
                <w:rFonts w:cs="Times New Roman"/>
                <w:b/>
                <w:bCs/>
                <w:szCs w:val="24"/>
                <w:lang w:eastAsia="en-GB"/>
              </w:rPr>
              <w:t>“</w:t>
            </w:r>
            <w:r w:rsidRPr="001C7C25">
              <w:rPr>
                <w:rFonts w:cs="Times New Roman"/>
                <w:b/>
                <w:bCs/>
                <w:szCs w:val="24"/>
                <w:u w:val="single"/>
                <w:lang w:eastAsia="en-GB"/>
              </w:rPr>
              <w:t>Suspension Pending Enquiry</w:t>
            </w:r>
            <w:r w:rsidRPr="001C7C25">
              <w:rPr>
                <w:rFonts w:cs="Times New Roman"/>
                <w:b/>
                <w:bCs/>
                <w:szCs w:val="24"/>
                <w:lang w:eastAsia="en-GB"/>
              </w:rPr>
              <w:t>”</w:t>
            </w:r>
            <w:r w:rsidRPr="001C7C25">
              <w:rPr>
                <w:rFonts w:cs="Times New Roman"/>
                <w:szCs w:val="24"/>
                <w:lang w:eastAsia="en-GB"/>
              </w:rPr>
              <w:t xml:space="preserve"> procedure, a fair and transparent process for addressing employee misconduct within the Metropolitan Police Force, The Enfield Council, and their Subsidiary Companie</w:t>
            </w:r>
            <w:r w:rsidRPr="001C7C25">
              <w:rPr>
                <w:rFonts w:cs="Times New Roman"/>
                <w:szCs w:val="24"/>
              </w:rPr>
              <w:t>s will uphold fair standards across the United Kingdom and lands alike</w:t>
            </w:r>
            <w:r w:rsidRPr="001C7C25">
              <w:rPr>
                <w:rFonts w:cs="Times New Roman"/>
                <w:szCs w:val="24"/>
                <w:lang w:eastAsia="en-GB"/>
              </w:rPr>
              <w:t>. This proactive approach will help maintain the integrity of the organization</w:t>
            </w:r>
            <w:r w:rsidRPr="001C7C25">
              <w:rPr>
                <w:rFonts w:cs="Times New Roman"/>
                <w:szCs w:val="24"/>
              </w:rPr>
              <w:t>s</w:t>
            </w:r>
            <w:r w:rsidRPr="001C7C25">
              <w:rPr>
                <w:rFonts w:cs="Times New Roman"/>
                <w:szCs w:val="24"/>
                <w:lang w:eastAsia="en-GB"/>
              </w:rPr>
              <w:t xml:space="preserve"> while safeguarding the rights of all parties involved.</w:t>
            </w:r>
          </w:p>
          <w:p w14:paraId="16EB4801"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F. </w:t>
            </w:r>
            <w:r w:rsidRPr="00492579">
              <w:rPr>
                <w:rFonts w:ascii="Segoe UI" w:eastAsia="Times New Roman" w:hAnsi="Segoe UI" w:cs="Segoe UI"/>
                <w:b/>
                <w:bCs/>
                <w:color w:val="374151"/>
                <w:kern w:val="0"/>
                <w:szCs w:val="24"/>
                <w:bdr w:val="single" w:sz="2" w:space="0" w:color="D9D9E3" w:frame="1"/>
                <w:lang w:eastAsia="en-GB"/>
                <w14:ligatures w14:val="none"/>
              </w:rPr>
              <w:t>Our Commitment to Ensuring Fairness</w:t>
            </w:r>
          </w:p>
          <w:p w14:paraId="5B360F7A" w14:textId="77777777" w:rsidR="00492579" w:rsidRPr="00492579" w:rsidRDefault="00492579" w:rsidP="00492579">
            <w:pPr>
              <w:numPr>
                <w:ilvl w:val="0"/>
                <w:numId w:val="9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 xml:space="preserve">Our commitment is to ensure that by implementing this "Suspension Pending Enquiry" procedure, we establish a fair and transparent process for addressing employee misconduct within the Metropolitan </w:t>
            </w:r>
            <w:r w:rsidRPr="00492579">
              <w:rPr>
                <w:rFonts w:ascii="Segoe UI" w:eastAsia="Times New Roman" w:hAnsi="Segoe UI" w:cs="Segoe UI"/>
                <w:b/>
                <w:bCs/>
                <w:color w:val="374151"/>
                <w:kern w:val="0"/>
                <w:szCs w:val="24"/>
                <w:bdr w:val="single" w:sz="2" w:space="0" w:color="D9D9E3" w:frame="1"/>
                <w:lang w:eastAsia="en-GB"/>
                <w14:ligatures w14:val="none"/>
              </w:rPr>
              <w:lastRenderedPageBreak/>
              <w:t>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2F305EBA" w14:textId="77777777" w:rsidR="002F2D30" w:rsidRPr="001C7C25" w:rsidRDefault="002F2D30" w:rsidP="00B7230F">
            <w:pPr>
              <w:pStyle w:val="ListParagraph"/>
              <w:numPr>
                <w:ilvl w:val="0"/>
                <w:numId w:val="84"/>
              </w:numPr>
              <w:rPr>
                <w:rFonts w:cs="Times New Roman"/>
                <w:szCs w:val="24"/>
                <w:lang w:eastAsia="en-GB"/>
              </w:rPr>
            </w:pPr>
            <w:r w:rsidRPr="001C7C25">
              <w:rPr>
                <w:rFonts w:cs="Times New Roman"/>
                <w:szCs w:val="24"/>
                <w:lang w:eastAsia="en-GB"/>
              </w:rPr>
              <w:t>Is that that these measures be considered and implemented promptly to address and prevent any future concerns related to employee misconduct.</w:t>
            </w:r>
          </w:p>
          <w:p w14:paraId="6DAECE9F" w14:textId="77777777" w:rsidR="002F2D30" w:rsidRDefault="002F2D30" w:rsidP="00B7230F">
            <w:pPr>
              <w:ind w:left="0" w:firstLine="0"/>
            </w:pPr>
          </w:p>
          <w:p w14:paraId="204CE2D3" w14:textId="77777777" w:rsidR="00492579" w:rsidRPr="00492579" w:rsidRDefault="00492579" w:rsidP="0049257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492579">
              <w:rPr>
                <w:rFonts w:ascii="Segoe UI" w:eastAsia="Times New Roman" w:hAnsi="Segoe UI" w:cs="Segoe UI"/>
                <w:color w:val="374151"/>
                <w:kern w:val="0"/>
                <w:szCs w:val="24"/>
                <w:lang w:eastAsia="en-GB"/>
                <w14:ligatures w14:val="none"/>
              </w:rPr>
              <w:t xml:space="preserve">G. </w:t>
            </w:r>
            <w:r w:rsidRPr="00492579">
              <w:rPr>
                <w:rFonts w:ascii="Segoe UI" w:eastAsia="Times New Roman" w:hAnsi="Segoe UI" w:cs="Segoe UI"/>
                <w:b/>
                <w:bCs/>
                <w:color w:val="374151"/>
                <w:kern w:val="0"/>
                <w:szCs w:val="24"/>
                <w:bdr w:val="single" w:sz="2" w:space="0" w:color="D9D9E3" w:frame="1"/>
                <w:lang w:eastAsia="en-GB"/>
                <w14:ligatures w14:val="none"/>
              </w:rPr>
              <w:t>A Sincere Request</w:t>
            </w:r>
          </w:p>
          <w:p w14:paraId="40A67831" w14:textId="77777777" w:rsidR="00492579" w:rsidRPr="00492579" w:rsidRDefault="00492579" w:rsidP="00492579">
            <w:pPr>
              <w:numPr>
                <w:ilvl w:val="0"/>
                <w:numId w:val="94"/>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492579">
              <w:rPr>
                <w:rFonts w:ascii="Segoe UI" w:eastAsia="Times New Roman" w:hAnsi="Segoe UI" w:cs="Segoe UI"/>
                <w:b/>
                <w:bCs/>
                <w:color w:val="374151"/>
                <w:kern w:val="0"/>
                <w:szCs w:val="24"/>
                <w:bdr w:val="single" w:sz="2" w:space="0" w:color="D9D9E3" w:frame="1"/>
                <w:lang w:eastAsia="en-GB"/>
                <w14:ligatures w14:val="none"/>
              </w:rPr>
              <w:t>We kindly request that these measures be promptly considered and implemented to address and prevent any future concerns related to employee misconduct.</w:t>
            </w:r>
          </w:p>
          <w:p w14:paraId="3FE00EC6" w14:textId="77777777" w:rsidR="00492579" w:rsidRDefault="00492579" w:rsidP="00B7230F">
            <w:pPr>
              <w:ind w:left="0" w:firstLine="0"/>
            </w:pPr>
          </w:p>
          <w:p w14:paraId="4AEF5982" w14:textId="77777777" w:rsidR="00492579" w:rsidRDefault="00492579" w:rsidP="00B7230F">
            <w:pPr>
              <w:ind w:left="0" w:firstLine="0"/>
            </w:pPr>
          </w:p>
          <w:p w14:paraId="6639ADC9" w14:textId="77777777" w:rsidR="002F2D30" w:rsidRDefault="002F2D30" w:rsidP="00B7230F">
            <w:pPr>
              <w:ind w:left="0" w:firstLine="0"/>
            </w:pPr>
          </w:p>
        </w:tc>
      </w:tr>
    </w:tbl>
    <w:p w14:paraId="20625B0A" w14:textId="77777777" w:rsidR="00FE75B6" w:rsidRDefault="00FE75B6"/>
    <w:p w14:paraId="7C0E4880" w14:textId="77777777" w:rsidR="00FE75B6" w:rsidRDefault="00FE75B6"/>
    <w:p w14:paraId="6891F78C" w14:textId="77777777" w:rsidR="00FE75B6" w:rsidRDefault="00FE75B6"/>
    <w:p w14:paraId="26189296" w14:textId="77777777" w:rsidR="00FE75B6" w:rsidRDefault="00FE75B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3"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60D26"/>
    <w:multiLevelType w:val="hybridMultilevel"/>
    <w:tmpl w:val="E08016CA"/>
    <w:lvl w:ilvl="0" w:tplc="8116CFF6">
      <w:start w:val="1"/>
      <w:numFmt w:val="bullet"/>
      <w:lvlText w:val=""/>
      <w:lvlJc w:val="left"/>
      <w:pPr>
        <w:ind w:left="1437" w:hanging="360"/>
      </w:pPr>
      <w:rPr>
        <w:rFonts w:ascii="Wingdings" w:hAnsi="Wingdings" w:hint="default"/>
        <w:color w:val="auto"/>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2"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2"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2C865835"/>
    <w:multiLevelType w:val="hybridMultilevel"/>
    <w:tmpl w:val="2382A960"/>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7"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4"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8"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8"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8"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79"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80"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531623D"/>
    <w:multiLevelType w:val="hybridMultilevel"/>
    <w:tmpl w:val="E5CAF7FA"/>
    <w:lvl w:ilvl="0" w:tplc="16C287E4">
      <w:start w:val="1"/>
      <w:numFmt w:val="upperLetter"/>
      <w:suff w:val="space"/>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7"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92"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5"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1"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84"/>
  </w:num>
  <w:num w:numId="2" w16cid:durableId="926379539">
    <w:abstractNumId w:val="46"/>
  </w:num>
  <w:num w:numId="3" w16cid:durableId="1726681795">
    <w:abstractNumId w:val="56"/>
  </w:num>
  <w:num w:numId="4" w16cid:durableId="1709069044">
    <w:abstractNumId w:val="101"/>
  </w:num>
  <w:num w:numId="5" w16cid:durableId="245043741">
    <w:abstractNumId w:val="7"/>
  </w:num>
  <w:num w:numId="6" w16cid:durableId="423573922">
    <w:abstractNumId w:val="29"/>
  </w:num>
  <w:num w:numId="7" w16cid:durableId="1125587836">
    <w:abstractNumId w:val="9"/>
  </w:num>
  <w:num w:numId="8" w16cid:durableId="1383406466">
    <w:abstractNumId w:val="1"/>
  </w:num>
  <w:num w:numId="9" w16cid:durableId="2072996651">
    <w:abstractNumId w:val="30"/>
  </w:num>
  <w:num w:numId="10" w16cid:durableId="590237890">
    <w:abstractNumId w:val="20"/>
  </w:num>
  <w:num w:numId="11" w16cid:durableId="2029717360">
    <w:abstractNumId w:val="15"/>
  </w:num>
  <w:num w:numId="12" w16cid:durableId="1925723135">
    <w:abstractNumId w:val="55"/>
  </w:num>
  <w:num w:numId="13" w16cid:durableId="2141149413">
    <w:abstractNumId w:val="85"/>
  </w:num>
  <w:num w:numId="14" w16cid:durableId="447745452">
    <w:abstractNumId w:val="41"/>
  </w:num>
  <w:num w:numId="15" w16cid:durableId="1484657949">
    <w:abstractNumId w:val="24"/>
  </w:num>
  <w:num w:numId="16" w16cid:durableId="1582640290">
    <w:abstractNumId w:val="89"/>
  </w:num>
  <w:num w:numId="17" w16cid:durableId="911815728">
    <w:abstractNumId w:val="82"/>
  </w:num>
  <w:num w:numId="18" w16cid:durableId="1864317991">
    <w:abstractNumId w:val="0"/>
  </w:num>
  <w:num w:numId="19" w16cid:durableId="1841967735">
    <w:abstractNumId w:val="92"/>
  </w:num>
  <w:num w:numId="20" w16cid:durableId="750348361">
    <w:abstractNumId w:val="65"/>
  </w:num>
  <w:num w:numId="21" w16cid:durableId="289359607">
    <w:abstractNumId w:val="47"/>
  </w:num>
  <w:num w:numId="22" w16cid:durableId="1097600230">
    <w:abstractNumId w:val="32"/>
  </w:num>
  <w:num w:numId="23" w16cid:durableId="1803687675">
    <w:abstractNumId w:val="10"/>
  </w:num>
  <w:num w:numId="24" w16cid:durableId="1287926158">
    <w:abstractNumId w:val="75"/>
  </w:num>
  <w:num w:numId="25" w16cid:durableId="1663777493">
    <w:abstractNumId w:val="34"/>
  </w:num>
  <w:num w:numId="26" w16cid:durableId="1086148612">
    <w:abstractNumId w:val="13"/>
  </w:num>
  <w:num w:numId="27" w16cid:durableId="2129817220">
    <w:abstractNumId w:val="48"/>
  </w:num>
  <w:num w:numId="28" w16cid:durableId="271015842">
    <w:abstractNumId w:val="16"/>
  </w:num>
  <w:num w:numId="29" w16cid:durableId="338775471">
    <w:abstractNumId w:val="42"/>
  </w:num>
  <w:num w:numId="30" w16cid:durableId="2146120959">
    <w:abstractNumId w:val="50"/>
  </w:num>
  <w:num w:numId="31" w16cid:durableId="1504274116">
    <w:abstractNumId w:val="80"/>
  </w:num>
  <w:num w:numId="32" w16cid:durableId="996222466">
    <w:abstractNumId w:val="73"/>
  </w:num>
  <w:num w:numId="33" w16cid:durableId="1348824376">
    <w:abstractNumId w:val="52"/>
  </w:num>
  <w:num w:numId="34" w16cid:durableId="1544756785">
    <w:abstractNumId w:val="33"/>
  </w:num>
  <w:num w:numId="35" w16cid:durableId="1791896746">
    <w:abstractNumId w:val="94"/>
  </w:num>
  <w:num w:numId="36" w16cid:durableId="1002003787">
    <w:abstractNumId w:val="28"/>
  </w:num>
  <w:num w:numId="37" w16cid:durableId="1624849923">
    <w:abstractNumId w:val="11"/>
  </w:num>
  <w:num w:numId="38" w16cid:durableId="1206522374">
    <w:abstractNumId w:val="93"/>
  </w:num>
  <w:num w:numId="39" w16cid:durableId="547307003">
    <w:abstractNumId w:val="98"/>
  </w:num>
  <w:num w:numId="40" w16cid:durableId="249824200">
    <w:abstractNumId w:val="44"/>
  </w:num>
  <w:num w:numId="41" w16cid:durableId="963846208">
    <w:abstractNumId w:val="4"/>
  </w:num>
  <w:num w:numId="42" w16cid:durableId="1726759549">
    <w:abstractNumId w:val="2"/>
  </w:num>
  <w:num w:numId="43" w16cid:durableId="1927416948">
    <w:abstractNumId w:val="69"/>
  </w:num>
  <w:num w:numId="44" w16cid:durableId="1839927869">
    <w:abstractNumId w:val="22"/>
  </w:num>
  <w:num w:numId="45" w16cid:durableId="1326736810">
    <w:abstractNumId w:val="36"/>
  </w:num>
  <w:num w:numId="46" w16cid:durableId="35593385">
    <w:abstractNumId w:val="5"/>
  </w:num>
  <w:num w:numId="47" w16cid:durableId="1054891873">
    <w:abstractNumId w:val="19"/>
  </w:num>
  <w:num w:numId="48" w16cid:durableId="1333489309">
    <w:abstractNumId w:val="57"/>
  </w:num>
  <w:num w:numId="49" w16cid:durableId="1355183807">
    <w:abstractNumId w:val="26"/>
  </w:num>
  <w:num w:numId="50" w16cid:durableId="1159811127">
    <w:abstractNumId w:val="27"/>
  </w:num>
  <w:num w:numId="51" w16cid:durableId="495343872">
    <w:abstractNumId w:val="12"/>
  </w:num>
  <w:num w:numId="52" w16cid:durableId="286470512">
    <w:abstractNumId w:val="76"/>
  </w:num>
  <w:num w:numId="53" w16cid:durableId="1256403182">
    <w:abstractNumId w:val="62"/>
  </w:num>
  <w:num w:numId="54" w16cid:durableId="1407417055">
    <w:abstractNumId w:val="99"/>
  </w:num>
  <w:num w:numId="55" w16cid:durableId="483593270">
    <w:abstractNumId w:val="51"/>
  </w:num>
  <w:num w:numId="56" w16cid:durableId="767580800">
    <w:abstractNumId w:val="97"/>
  </w:num>
  <w:num w:numId="57" w16cid:durableId="904725455">
    <w:abstractNumId w:val="49"/>
  </w:num>
  <w:num w:numId="58" w16cid:durableId="1687252129">
    <w:abstractNumId w:val="25"/>
  </w:num>
  <w:num w:numId="59" w16cid:durableId="1703046012">
    <w:abstractNumId w:val="37"/>
  </w:num>
  <w:num w:numId="60" w16cid:durableId="1324167965">
    <w:abstractNumId w:val="70"/>
  </w:num>
  <w:num w:numId="61" w16cid:durableId="753356118">
    <w:abstractNumId w:val="88"/>
  </w:num>
  <w:num w:numId="62" w16cid:durableId="719984032">
    <w:abstractNumId w:val="64"/>
  </w:num>
  <w:num w:numId="63" w16cid:durableId="1507095664">
    <w:abstractNumId w:val="68"/>
  </w:num>
  <w:num w:numId="64" w16cid:durableId="1080565873">
    <w:abstractNumId w:val="95"/>
  </w:num>
  <w:num w:numId="65" w16cid:durableId="1402867373">
    <w:abstractNumId w:val="66"/>
  </w:num>
  <w:num w:numId="66" w16cid:durableId="794249662">
    <w:abstractNumId w:val="43"/>
  </w:num>
  <w:num w:numId="67" w16cid:durableId="1131753023">
    <w:abstractNumId w:val="96"/>
  </w:num>
  <w:num w:numId="68" w16cid:durableId="1661611906">
    <w:abstractNumId w:val="40"/>
  </w:num>
  <w:num w:numId="69" w16cid:durableId="1053967921">
    <w:abstractNumId w:val="17"/>
  </w:num>
  <w:num w:numId="70" w16cid:durableId="28145760">
    <w:abstractNumId w:val="81"/>
  </w:num>
  <w:num w:numId="71" w16cid:durableId="1668895725">
    <w:abstractNumId w:val="14"/>
  </w:num>
  <w:num w:numId="72" w16cid:durableId="1628078022">
    <w:abstractNumId w:val="6"/>
  </w:num>
  <w:num w:numId="73" w16cid:durableId="552351127">
    <w:abstractNumId w:val="59"/>
  </w:num>
  <w:num w:numId="74" w16cid:durableId="796487819">
    <w:abstractNumId w:val="54"/>
  </w:num>
  <w:num w:numId="75" w16cid:durableId="1664819999">
    <w:abstractNumId w:val="23"/>
  </w:num>
  <w:num w:numId="76" w16cid:durableId="545265545">
    <w:abstractNumId w:val="87"/>
  </w:num>
  <w:num w:numId="77" w16cid:durableId="481891203">
    <w:abstractNumId w:val="53"/>
  </w:num>
  <w:num w:numId="78" w16cid:durableId="1676883456">
    <w:abstractNumId w:val="79"/>
  </w:num>
  <w:num w:numId="79" w16cid:durableId="527525689">
    <w:abstractNumId w:val="67"/>
  </w:num>
  <w:num w:numId="80" w16cid:durableId="558900690">
    <w:abstractNumId w:val="31"/>
  </w:num>
  <w:num w:numId="81" w16cid:durableId="551964052">
    <w:abstractNumId w:val="77"/>
  </w:num>
  <w:num w:numId="82" w16cid:durableId="883299094">
    <w:abstractNumId w:val="78"/>
  </w:num>
  <w:num w:numId="83" w16cid:durableId="265189543">
    <w:abstractNumId w:val="45"/>
  </w:num>
  <w:num w:numId="84" w16cid:durableId="809591167">
    <w:abstractNumId w:val="18"/>
  </w:num>
  <w:num w:numId="85" w16cid:durableId="1823500458">
    <w:abstractNumId w:val="60"/>
  </w:num>
  <w:num w:numId="86" w16cid:durableId="71591112">
    <w:abstractNumId w:val="90"/>
  </w:num>
  <w:num w:numId="87" w16cid:durableId="334849127">
    <w:abstractNumId w:val="83"/>
  </w:num>
  <w:num w:numId="88" w16cid:durableId="1413893392">
    <w:abstractNumId w:val="39"/>
  </w:num>
  <w:num w:numId="89" w16cid:durableId="388185367">
    <w:abstractNumId w:val="38"/>
  </w:num>
  <w:num w:numId="90" w16cid:durableId="1478718284">
    <w:abstractNumId w:val="3"/>
  </w:num>
  <w:num w:numId="91" w16cid:durableId="1898856450">
    <w:abstractNumId w:val="63"/>
  </w:num>
  <w:num w:numId="92" w16cid:durableId="1145899229">
    <w:abstractNumId w:val="71"/>
  </w:num>
  <w:num w:numId="93" w16cid:durableId="1198082289">
    <w:abstractNumId w:val="61"/>
  </w:num>
  <w:num w:numId="94" w16cid:durableId="176775119">
    <w:abstractNumId w:val="72"/>
  </w:num>
  <w:num w:numId="95" w16cid:durableId="1743067590">
    <w:abstractNumId w:val="91"/>
  </w:num>
  <w:num w:numId="96" w16cid:durableId="1431973133">
    <w:abstractNumId w:val="8"/>
  </w:num>
  <w:num w:numId="97" w16cid:durableId="1095325632">
    <w:abstractNumId w:val="58"/>
  </w:num>
  <w:num w:numId="98" w16cid:durableId="225339878">
    <w:abstractNumId w:val="100"/>
  </w:num>
  <w:num w:numId="99" w16cid:durableId="559177019">
    <w:abstractNumId w:val="86"/>
  </w:num>
  <w:num w:numId="100" w16cid:durableId="438136778">
    <w:abstractNumId w:val="74"/>
  </w:num>
  <w:num w:numId="101" w16cid:durableId="1621954888">
    <w:abstractNumId w:val="35"/>
  </w:num>
  <w:num w:numId="102" w16cid:durableId="15392042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2022E"/>
    <w:rsid w:val="0004051D"/>
    <w:rsid w:val="00116E67"/>
    <w:rsid w:val="00120690"/>
    <w:rsid w:val="0014775A"/>
    <w:rsid w:val="00184256"/>
    <w:rsid w:val="00186B44"/>
    <w:rsid w:val="001A40D8"/>
    <w:rsid w:val="001B5EC1"/>
    <w:rsid w:val="001E23FB"/>
    <w:rsid w:val="001E46A1"/>
    <w:rsid w:val="001E52C4"/>
    <w:rsid w:val="001E558F"/>
    <w:rsid w:val="00222290"/>
    <w:rsid w:val="002648B3"/>
    <w:rsid w:val="002753E4"/>
    <w:rsid w:val="002C58FF"/>
    <w:rsid w:val="002E123B"/>
    <w:rsid w:val="002E3403"/>
    <w:rsid w:val="002F2D30"/>
    <w:rsid w:val="00310A6A"/>
    <w:rsid w:val="00313BD8"/>
    <w:rsid w:val="003C1834"/>
    <w:rsid w:val="003E48FA"/>
    <w:rsid w:val="003E6EDF"/>
    <w:rsid w:val="003F0345"/>
    <w:rsid w:val="004042BE"/>
    <w:rsid w:val="00422C8D"/>
    <w:rsid w:val="0043407D"/>
    <w:rsid w:val="00492579"/>
    <w:rsid w:val="0049289C"/>
    <w:rsid w:val="00497B7C"/>
    <w:rsid w:val="004B41E5"/>
    <w:rsid w:val="004C0D69"/>
    <w:rsid w:val="004E40CA"/>
    <w:rsid w:val="0053392E"/>
    <w:rsid w:val="00586491"/>
    <w:rsid w:val="005A4165"/>
    <w:rsid w:val="005B608E"/>
    <w:rsid w:val="005C20B5"/>
    <w:rsid w:val="005F0416"/>
    <w:rsid w:val="005F0D8F"/>
    <w:rsid w:val="005F2232"/>
    <w:rsid w:val="00650FDC"/>
    <w:rsid w:val="00655B9F"/>
    <w:rsid w:val="006901CA"/>
    <w:rsid w:val="006A620B"/>
    <w:rsid w:val="006B03D0"/>
    <w:rsid w:val="006B0509"/>
    <w:rsid w:val="006B0859"/>
    <w:rsid w:val="006E7EC2"/>
    <w:rsid w:val="00716162"/>
    <w:rsid w:val="00743E79"/>
    <w:rsid w:val="00756920"/>
    <w:rsid w:val="00790228"/>
    <w:rsid w:val="007C1BAB"/>
    <w:rsid w:val="007D530B"/>
    <w:rsid w:val="007F618E"/>
    <w:rsid w:val="00827436"/>
    <w:rsid w:val="008A2834"/>
    <w:rsid w:val="008B1BA4"/>
    <w:rsid w:val="008B2756"/>
    <w:rsid w:val="00902C82"/>
    <w:rsid w:val="009250EA"/>
    <w:rsid w:val="00986812"/>
    <w:rsid w:val="009C18EB"/>
    <w:rsid w:val="009D0445"/>
    <w:rsid w:val="009F354B"/>
    <w:rsid w:val="009F3EC0"/>
    <w:rsid w:val="00A150EB"/>
    <w:rsid w:val="00A227E9"/>
    <w:rsid w:val="00A31C8D"/>
    <w:rsid w:val="00A62228"/>
    <w:rsid w:val="00A95253"/>
    <w:rsid w:val="00A961CF"/>
    <w:rsid w:val="00AD23AB"/>
    <w:rsid w:val="00AD5B0F"/>
    <w:rsid w:val="00AE386D"/>
    <w:rsid w:val="00AE68D1"/>
    <w:rsid w:val="00AF74FE"/>
    <w:rsid w:val="00B166A0"/>
    <w:rsid w:val="00B36505"/>
    <w:rsid w:val="00B61B6E"/>
    <w:rsid w:val="00B75A04"/>
    <w:rsid w:val="00B77B0D"/>
    <w:rsid w:val="00B8703C"/>
    <w:rsid w:val="00BB2515"/>
    <w:rsid w:val="00BB6CB6"/>
    <w:rsid w:val="00BC65C2"/>
    <w:rsid w:val="00C40ED3"/>
    <w:rsid w:val="00C85F7D"/>
    <w:rsid w:val="00CC5929"/>
    <w:rsid w:val="00D15B0E"/>
    <w:rsid w:val="00D418D9"/>
    <w:rsid w:val="00D54110"/>
    <w:rsid w:val="00D557BA"/>
    <w:rsid w:val="00D647E3"/>
    <w:rsid w:val="00D6580B"/>
    <w:rsid w:val="00D7661C"/>
    <w:rsid w:val="00D77DD9"/>
    <w:rsid w:val="00DD0BD8"/>
    <w:rsid w:val="00DF540E"/>
    <w:rsid w:val="00E00628"/>
    <w:rsid w:val="00E243E9"/>
    <w:rsid w:val="00E44867"/>
    <w:rsid w:val="00E77E62"/>
    <w:rsid w:val="00EA2541"/>
    <w:rsid w:val="00EA6102"/>
    <w:rsid w:val="00EA681D"/>
    <w:rsid w:val="00EB5DF0"/>
    <w:rsid w:val="00EC6629"/>
    <w:rsid w:val="00ED19C2"/>
    <w:rsid w:val="00EF1D7D"/>
    <w:rsid w:val="00F06DCA"/>
    <w:rsid w:val="00F33F7E"/>
    <w:rsid w:val="00FA30C6"/>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16</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64</cp:revision>
  <dcterms:created xsi:type="dcterms:W3CDTF">2023-09-21T11:46:00Z</dcterms:created>
  <dcterms:modified xsi:type="dcterms:W3CDTF">2023-09-22T09:34:00Z</dcterms:modified>
</cp:coreProperties>
</file>