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29006" w14:textId="77777777" w:rsidR="00E047A2" w:rsidRDefault="00E047A2">
      <w:pPr>
        <w:pStyle w:val="BodyText"/>
        <w:ind w:left="0"/>
        <w:rPr>
          <w:rFonts w:ascii="Times New Roman"/>
        </w:rPr>
      </w:pPr>
    </w:p>
    <w:p w14:paraId="5F4C2C7D" w14:textId="77777777" w:rsidR="00E047A2" w:rsidRDefault="00E047A2">
      <w:pPr>
        <w:pStyle w:val="BodyText"/>
        <w:ind w:left="0"/>
        <w:rPr>
          <w:rFonts w:ascii="Times New Roman"/>
        </w:rPr>
      </w:pPr>
    </w:p>
    <w:p w14:paraId="0853B059" w14:textId="77777777" w:rsidR="00E047A2" w:rsidRDefault="00E047A2">
      <w:pPr>
        <w:pStyle w:val="BodyText"/>
        <w:spacing w:before="4"/>
        <w:ind w:left="0"/>
        <w:rPr>
          <w:rFonts w:ascii="Times New Roman"/>
          <w:sz w:val="16"/>
        </w:rPr>
      </w:pPr>
    </w:p>
    <w:p w14:paraId="0DA10041" w14:textId="77777777" w:rsidR="00E047A2" w:rsidRDefault="00E047A2">
      <w:pPr>
        <w:rPr>
          <w:rFonts w:ascii="Times New Roman"/>
          <w:sz w:val="16"/>
        </w:rPr>
        <w:sectPr w:rsidR="00E047A2">
          <w:type w:val="continuous"/>
          <w:pgSz w:w="11910" w:h="16840"/>
          <w:pgMar w:top="0" w:right="0" w:bottom="280" w:left="740" w:header="720" w:footer="720" w:gutter="0"/>
          <w:cols w:space="720"/>
        </w:sectPr>
      </w:pPr>
    </w:p>
    <w:p w14:paraId="749380BF" w14:textId="77777777" w:rsidR="00E047A2" w:rsidRDefault="00000000">
      <w:pPr>
        <w:spacing w:before="159" w:line="208" w:lineRule="auto"/>
        <w:ind w:left="1268" w:right="1123"/>
        <w:jc w:val="center"/>
        <w:rPr>
          <w:rFonts w:ascii="Century Gothic"/>
          <w:b/>
          <w:sz w:val="56"/>
        </w:rPr>
      </w:pPr>
      <w:r>
        <w:rPr>
          <w:rFonts w:ascii="Century Gothic"/>
          <w:b/>
          <w:color w:val="231F20"/>
          <w:sz w:val="56"/>
        </w:rPr>
        <w:t>ASBOs</w:t>
      </w:r>
      <w:r>
        <w:rPr>
          <w:rFonts w:ascii="Century Gothic"/>
          <w:b/>
          <w:color w:val="231F20"/>
          <w:spacing w:val="-96"/>
          <w:sz w:val="56"/>
        </w:rPr>
        <w:t xml:space="preserve"> </w:t>
      </w:r>
      <w:r>
        <w:rPr>
          <w:rFonts w:ascii="Century Gothic"/>
          <w:b/>
          <w:color w:val="231F20"/>
          <w:sz w:val="56"/>
        </w:rPr>
        <w:t>are</w:t>
      </w:r>
      <w:r>
        <w:rPr>
          <w:rFonts w:ascii="Century Gothic"/>
          <w:b/>
          <w:color w:val="231F20"/>
          <w:spacing w:val="-95"/>
          <w:sz w:val="56"/>
        </w:rPr>
        <w:t xml:space="preserve"> </w:t>
      </w:r>
      <w:r>
        <w:rPr>
          <w:rFonts w:ascii="Century Gothic"/>
          <w:b/>
          <w:color w:val="231F20"/>
          <w:spacing w:val="-4"/>
          <w:sz w:val="56"/>
        </w:rPr>
        <w:t xml:space="preserve">dead, </w:t>
      </w:r>
      <w:r>
        <w:rPr>
          <w:rFonts w:ascii="Century Gothic"/>
          <w:b/>
          <w:color w:val="231F20"/>
          <w:sz w:val="56"/>
        </w:rPr>
        <w:t>long live ASBOs</w:t>
      </w:r>
    </w:p>
    <w:p w14:paraId="59BF15FF" w14:textId="77777777" w:rsidR="00E047A2" w:rsidRDefault="00000000">
      <w:pPr>
        <w:spacing w:before="190" w:line="232" w:lineRule="auto"/>
        <w:ind w:left="183" w:right="38"/>
        <w:jc w:val="center"/>
        <w:rPr>
          <w:rFonts w:ascii="Tahoma"/>
          <w:sz w:val="32"/>
        </w:rPr>
      </w:pPr>
      <w:r>
        <w:rPr>
          <w:rFonts w:ascii="Century Gothic"/>
          <w:b/>
          <w:color w:val="231F20"/>
          <w:w w:val="105"/>
          <w:sz w:val="32"/>
        </w:rPr>
        <w:t>Sally</w:t>
      </w:r>
      <w:r>
        <w:rPr>
          <w:rFonts w:ascii="Century Gothic"/>
          <w:b/>
          <w:color w:val="231F20"/>
          <w:spacing w:val="-48"/>
          <w:w w:val="105"/>
          <w:sz w:val="32"/>
        </w:rPr>
        <w:t xml:space="preserve"> </w:t>
      </w:r>
      <w:r>
        <w:rPr>
          <w:rFonts w:ascii="Century Gothic"/>
          <w:b/>
          <w:color w:val="231F20"/>
          <w:w w:val="105"/>
          <w:sz w:val="32"/>
        </w:rPr>
        <w:t>Ireland</w:t>
      </w:r>
      <w:r>
        <w:rPr>
          <w:rFonts w:ascii="Century Gothic"/>
          <w:b/>
          <w:color w:val="231F20"/>
          <w:spacing w:val="-47"/>
          <w:w w:val="105"/>
          <w:sz w:val="32"/>
        </w:rPr>
        <w:t xml:space="preserve"> </w:t>
      </w:r>
      <w:r>
        <w:rPr>
          <w:rFonts w:ascii="Tahoma"/>
          <w:color w:val="231F20"/>
          <w:w w:val="105"/>
          <w:sz w:val="32"/>
        </w:rPr>
        <w:t>discusses</w:t>
      </w:r>
      <w:r>
        <w:rPr>
          <w:rFonts w:ascii="Tahoma"/>
          <w:color w:val="231F20"/>
          <w:spacing w:val="-59"/>
          <w:w w:val="105"/>
          <w:sz w:val="32"/>
        </w:rPr>
        <w:t xml:space="preserve"> </w:t>
      </w:r>
      <w:r>
        <w:rPr>
          <w:rFonts w:ascii="Tahoma"/>
          <w:color w:val="231F20"/>
          <w:w w:val="105"/>
          <w:sz w:val="32"/>
        </w:rPr>
        <w:t>the</w:t>
      </w:r>
      <w:r>
        <w:rPr>
          <w:rFonts w:ascii="Tahoma"/>
          <w:color w:val="231F20"/>
          <w:spacing w:val="-60"/>
          <w:w w:val="105"/>
          <w:sz w:val="32"/>
        </w:rPr>
        <w:t xml:space="preserve"> </w:t>
      </w:r>
      <w:r>
        <w:rPr>
          <w:rFonts w:ascii="Tahoma"/>
          <w:color w:val="231F20"/>
          <w:w w:val="105"/>
          <w:sz w:val="32"/>
        </w:rPr>
        <w:t>proposed</w:t>
      </w:r>
      <w:r>
        <w:rPr>
          <w:rFonts w:ascii="Tahoma"/>
          <w:color w:val="231F20"/>
          <w:spacing w:val="-60"/>
          <w:w w:val="105"/>
          <w:sz w:val="32"/>
        </w:rPr>
        <w:t xml:space="preserve"> </w:t>
      </w:r>
      <w:r>
        <w:rPr>
          <w:rFonts w:ascii="Tahoma"/>
          <w:color w:val="231F20"/>
          <w:spacing w:val="-3"/>
          <w:w w:val="105"/>
          <w:sz w:val="32"/>
        </w:rPr>
        <w:t xml:space="preserve">changes </w:t>
      </w:r>
      <w:r>
        <w:rPr>
          <w:rFonts w:ascii="Tahoma"/>
          <w:color w:val="231F20"/>
          <w:w w:val="105"/>
          <w:sz w:val="32"/>
        </w:rPr>
        <w:t>for dealing with anti-social</w:t>
      </w:r>
      <w:r>
        <w:rPr>
          <w:rFonts w:ascii="Tahoma"/>
          <w:color w:val="231F20"/>
          <w:spacing w:val="-70"/>
          <w:w w:val="105"/>
          <w:sz w:val="32"/>
        </w:rPr>
        <w:t xml:space="preserve"> </w:t>
      </w:r>
      <w:proofErr w:type="spellStart"/>
      <w:r>
        <w:rPr>
          <w:rFonts w:ascii="Tahoma"/>
          <w:color w:val="231F20"/>
          <w:w w:val="105"/>
          <w:sz w:val="32"/>
        </w:rPr>
        <w:t>behaviour</w:t>
      </w:r>
      <w:proofErr w:type="spellEnd"/>
    </w:p>
    <w:p w14:paraId="12BBC629" w14:textId="77777777" w:rsidR="00E047A2" w:rsidRDefault="00000000">
      <w:pPr>
        <w:pStyle w:val="BodyText"/>
        <w:spacing w:before="158" w:line="244" w:lineRule="auto"/>
        <w:ind w:left="183" w:right="913"/>
      </w:pPr>
      <w:r>
        <w:br w:type="column"/>
      </w:r>
      <w:r>
        <w:rPr>
          <w:color w:val="231F20"/>
          <w:w w:val="105"/>
        </w:rPr>
        <w:t xml:space="preserve">increase reliance upon such orders. Further, if the Police and Crime Commissioners (PCCs) proposed in the </w:t>
      </w:r>
      <w:r>
        <w:rPr>
          <w:rFonts w:ascii="Book Antiqua" w:hAnsi="Book Antiqua"/>
          <w:i/>
          <w:color w:val="231F20"/>
          <w:w w:val="105"/>
        </w:rPr>
        <w:t xml:space="preserve">Police Reform and Social Responsibility Bill </w:t>
      </w:r>
      <w:r>
        <w:rPr>
          <w:color w:val="231F20"/>
          <w:w w:val="105"/>
        </w:rPr>
        <w:t xml:space="preserve">are created, there may be considerable pressure on chief constables to use them – since anti-social </w:t>
      </w:r>
      <w:proofErr w:type="spellStart"/>
      <w:r>
        <w:rPr>
          <w:color w:val="231F20"/>
          <w:w w:val="105"/>
        </w:rPr>
        <w:t>behaviour</w:t>
      </w:r>
      <w:proofErr w:type="spellEnd"/>
      <w:r>
        <w:rPr>
          <w:color w:val="231F20"/>
          <w:w w:val="105"/>
        </w:rPr>
        <w:t xml:space="preserve"> is likely to be a key issue in PCC elections.</w:t>
      </w:r>
    </w:p>
    <w:p w14:paraId="48ADC34C" w14:textId="77777777" w:rsidR="00E047A2" w:rsidRDefault="00000000">
      <w:pPr>
        <w:pStyle w:val="Heading2"/>
        <w:spacing w:before="208" w:line="288" w:lineRule="exact"/>
        <w:ind w:left="183"/>
      </w:pPr>
      <w:r>
        <w:rPr>
          <w:color w:val="231F20"/>
          <w:w w:val="105"/>
        </w:rPr>
        <w:t>Move to the county courts</w:t>
      </w:r>
    </w:p>
    <w:p w14:paraId="4D2A217C" w14:textId="77777777" w:rsidR="00E047A2" w:rsidRDefault="00000000">
      <w:pPr>
        <w:pStyle w:val="BodyText"/>
        <w:spacing w:line="227" w:lineRule="exact"/>
        <w:ind w:left="183"/>
      </w:pPr>
      <w:r>
        <w:rPr>
          <w:color w:val="231F20"/>
          <w:w w:val="105"/>
        </w:rPr>
        <w:t>It is questionable whether the move</w:t>
      </w:r>
    </w:p>
    <w:p w14:paraId="64537AF2" w14:textId="77777777" w:rsidR="00E047A2" w:rsidRDefault="00E047A2">
      <w:pPr>
        <w:spacing w:line="227" w:lineRule="exact"/>
        <w:sectPr w:rsidR="00E047A2">
          <w:type w:val="continuous"/>
          <w:pgSz w:w="11910" w:h="16840"/>
          <w:pgMar w:top="0" w:right="0" w:bottom="280" w:left="740" w:header="720" w:footer="720" w:gutter="0"/>
          <w:cols w:num="2" w:space="720" w:equalWidth="0">
            <w:col w:w="6786" w:space="132"/>
            <w:col w:w="4252"/>
          </w:cols>
        </w:sectPr>
      </w:pPr>
    </w:p>
    <w:p w14:paraId="71A07B24" w14:textId="77777777" w:rsidR="00E047A2" w:rsidRDefault="00000000">
      <w:pPr>
        <w:pStyle w:val="BodyText"/>
        <w:spacing w:before="26" w:line="247" w:lineRule="auto"/>
        <w:ind w:left="360" w:right="34"/>
      </w:pPr>
      <w:r w:rsidRPr="00AD4C10">
        <w:rPr>
          <w:highlight w:val="cyan"/>
        </w:rPr>
        <w:pict w14:anchorId="60E6AA82">
          <v:shapetype id="_x0000_t202" coordsize="21600,21600" o:spt="202" path="m,l,21600r21600,l21600,xe">
            <v:stroke joinstyle="miter"/>
            <v:path gradientshapeok="t" o:connecttype="rect"/>
          </v:shapetype>
          <v:shape id="_x0000_s1051" type="#_x0000_t202" style="position:absolute;left:0;text-align:left;margin-left:42.5pt;margin-top:-6.8pt;width:12.55pt;height:53.6pt;z-index:-251859968;mso-position-horizontal-relative:page" filled="f" stroked="f">
            <v:textbox inset="0,0,0,0">
              <w:txbxContent>
                <w:p w14:paraId="397833E5" w14:textId="77777777" w:rsidR="00E047A2" w:rsidRDefault="00000000">
                  <w:pPr>
                    <w:spacing w:line="1035" w:lineRule="exact"/>
                    <w:rPr>
                      <w:sz w:val="90"/>
                    </w:rPr>
                  </w:pPr>
                  <w:r>
                    <w:rPr>
                      <w:color w:val="231F20"/>
                      <w:w w:val="111"/>
                      <w:sz w:val="90"/>
                    </w:rPr>
                    <w:t>I</w:t>
                  </w:r>
                </w:p>
              </w:txbxContent>
            </v:textbox>
            <w10:wrap anchorx="page"/>
          </v:shape>
        </w:pict>
      </w:r>
      <w:proofErr w:type="spellStart"/>
      <w:r w:rsidRPr="00AD4C10">
        <w:rPr>
          <w:color w:val="231F20"/>
          <w:w w:val="105"/>
          <w:highlight w:val="cyan"/>
        </w:rPr>
        <w:t>n</w:t>
      </w:r>
      <w:proofErr w:type="spellEnd"/>
      <w:r w:rsidRPr="00AD4C10">
        <w:rPr>
          <w:color w:val="231F20"/>
          <w:w w:val="105"/>
          <w:highlight w:val="cyan"/>
        </w:rPr>
        <w:t xml:space="preserve"> July 2010 Theresa May, the new Home Secretary in the Coalition government, announced</w:t>
      </w:r>
      <w:r>
        <w:rPr>
          <w:color w:val="231F20"/>
          <w:w w:val="105"/>
        </w:rPr>
        <w:t xml:space="preserve"> </w:t>
      </w:r>
      <w:r w:rsidRPr="00AD4C10">
        <w:rPr>
          <w:color w:val="231F20"/>
          <w:w w:val="105"/>
          <w:highlight w:val="green"/>
        </w:rPr>
        <w:t>a review</w:t>
      </w:r>
    </w:p>
    <w:p w14:paraId="2040DC6A" w14:textId="77777777" w:rsidR="00AD4C10" w:rsidRDefault="00000000">
      <w:pPr>
        <w:pStyle w:val="BodyText"/>
        <w:spacing w:before="3" w:line="247" w:lineRule="auto"/>
        <w:ind w:right="58"/>
        <w:rPr>
          <w:color w:val="231F20"/>
          <w:w w:val="105"/>
        </w:rPr>
      </w:pPr>
      <w:r>
        <w:rPr>
          <w:color w:val="231F20"/>
          <w:w w:val="105"/>
        </w:rPr>
        <w:t xml:space="preserve">of Anti-Social Behaviour Orders (ASBOs), </w:t>
      </w:r>
    </w:p>
    <w:p w14:paraId="0F194F0C" w14:textId="77777777" w:rsidR="00AD4C10" w:rsidRDefault="00AD4C10">
      <w:pPr>
        <w:pStyle w:val="BodyText"/>
        <w:spacing w:before="3" w:line="247" w:lineRule="auto"/>
        <w:ind w:right="58"/>
        <w:rPr>
          <w:color w:val="231F20"/>
          <w:w w:val="105"/>
        </w:rPr>
      </w:pPr>
    </w:p>
    <w:p w14:paraId="34A0FD21" w14:textId="7354965C" w:rsidR="00E047A2" w:rsidRDefault="00000000">
      <w:pPr>
        <w:pStyle w:val="BodyText"/>
        <w:spacing w:before="3" w:line="247" w:lineRule="auto"/>
        <w:ind w:right="58"/>
      </w:pPr>
      <w:r>
        <w:rPr>
          <w:color w:val="231F20"/>
          <w:w w:val="105"/>
        </w:rPr>
        <w:t xml:space="preserve">arguing that under New </w:t>
      </w:r>
      <w:proofErr w:type="spellStart"/>
      <w:r>
        <w:rPr>
          <w:color w:val="231F20"/>
          <w:w w:val="105"/>
        </w:rPr>
        <w:t>Labour</w:t>
      </w:r>
      <w:proofErr w:type="spellEnd"/>
      <w:r>
        <w:rPr>
          <w:color w:val="231F20"/>
          <w:w w:val="105"/>
        </w:rPr>
        <w:t xml:space="preserve"> the sanctions against anti- social </w:t>
      </w:r>
      <w:proofErr w:type="spellStart"/>
      <w:r>
        <w:rPr>
          <w:color w:val="231F20"/>
          <w:w w:val="105"/>
        </w:rPr>
        <w:t>behaviour</w:t>
      </w:r>
      <w:proofErr w:type="spellEnd"/>
      <w:r>
        <w:rPr>
          <w:color w:val="231F20"/>
          <w:w w:val="105"/>
        </w:rPr>
        <w:t xml:space="preserve"> ‘were too complex and bureaucratic – there were too many of them, they were too time consuming and </w:t>
      </w:r>
      <w:proofErr w:type="gramStart"/>
      <w:r>
        <w:rPr>
          <w:color w:val="231F20"/>
          <w:w w:val="105"/>
        </w:rPr>
        <w:t>expensive</w:t>
      </w:r>
      <w:proofErr w:type="gramEnd"/>
      <w:r>
        <w:rPr>
          <w:color w:val="231F20"/>
          <w:w w:val="105"/>
        </w:rPr>
        <w:t xml:space="preserve"> and they too often </w:t>
      </w:r>
      <w:proofErr w:type="spellStart"/>
      <w:r>
        <w:rPr>
          <w:color w:val="231F20"/>
          <w:w w:val="105"/>
        </w:rPr>
        <w:t>criminalised</w:t>
      </w:r>
      <w:proofErr w:type="spellEnd"/>
      <w:r>
        <w:rPr>
          <w:color w:val="231F20"/>
          <w:w w:val="105"/>
        </w:rPr>
        <w:t xml:space="preserve"> young people unnecessarily, acting as a conveyor belt to serious crime and prison’ (May, 2010). The speech therefore held out a promise of a fundamental reform of ASBOs, one that might address serious criticisms regarding their effectiveness, application to inappropriate groups, due process problems relating to the use of hearsay, and counterproductive effects. This article explores the degree to which the consultation’s proposals would achieve genuine change in the system for addressing anti-social </w:t>
      </w:r>
      <w:proofErr w:type="spellStart"/>
      <w:r>
        <w:rPr>
          <w:color w:val="231F20"/>
          <w:w w:val="105"/>
        </w:rPr>
        <w:t>behaviour</w:t>
      </w:r>
      <w:proofErr w:type="spellEnd"/>
      <w:r>
        <w:rPr>
          <w:color w:val="231F20"/>
          <w:w w:val="105"/>
        </w:rPr>
        <w:t>.</w:t>
      </w:r>
    </w:p>
    <w:p w14:paraId="1F1BA7F1" w14:textId="77777777" w:rsidR="00E047A2" w:rsidRDefault="00000000">
      <w:pPr>
        <w:spacing w:before="25" w:line="244" w:lineRule="auto"/>
        <w:ind w:left="110" w:right="34" w:firstLine="283"/>
        <w:rPr>
          <w:sz w:val="20"/>
        </w:rPr>
      </w:pPr>
      <w:r>
        <w:rPr>
          <w:color w:val="231F20"/>
          <w:w w:val="105"/>
          <w:sz w:val="20"/>
        </w:rPr>
        <w:t xml:space="preserve">The February 2011 Home Office consultation on replacing the ASBO, </w:t>
      </w:r>
      <w:r>
        <w:rPr>
          <w:rFonts w:ascii="Book Antiqua"/>
          <w:i/>
          <w:color w:val="231F20"/>
          <w:w w:val="105"/>
          <w:sz w:val="20"/>
        </w:rPr>
        <w:t xml:space="preserve">More Effective Responses to Anti- Social Behaviour </w:t>
      </w:r>
      <w:r>
        <w:rPr>
          <w:color w:val="231F20"/>
          <w:w w:val="105"/>
          <w:sz w:val="20"/>
        </w:rPr>
        <w:t>proposed two new</w:t>
      </w:r>
    </w:p>
    <w:p w14:paraId="030690F0" w14:textId="77777777" w:rsidR="00E047A2" w:rsidRDefault="00000000">
      <w:pPr>
        <w:pStyle w:val="BodyText"/>
        <w:spacing w:before="26" w:line="247" w:lineRule="auto"/>
        <w:ind w:right="38"/>
      </w:pPr>
      <w:r>
        <w:br w:type="column"/>
      </w:r>
      <w:r>
        <w:rPr>
          <w:color w:val="231F20"/>
          <w:w w:val="110"/>
        </w:rPr>
        <w:t>in</w:t>
      </w:r>
      <w:r>
        <w:rPr>
          <w:color w:val="231F20"/>
          <w:spacing w:val="-22"/>
          <w:w w:val="110"/>
        </w:rPr>
        <w:t xml:space="preserve"> </w:t>
      </w:r>
      <w:r>
        <w:rPr>
          <w:color w:val="231F20"/>
          <w:w w:val="110"/>
        </w:rPr>
        <w:t>addition</w:t>
      </w:r>
      <w:r>
        <w:rPr>
          <w:color w:val="231F20"/>
          <w:spacing w:val="-22"/>
          <w:w w:val="110"/>
        </w:rPr>
        <w:t xml:space="preserve"> </w:t>
      </w:r>
      <w:r>
        <w:rPr>
          <w:color w:val="231F20"/>
          <w:w w:val="110"/>
        </w:rPr>
        <w:t>to</w:t>
      </w:r>
      <w:r>
        <w:rPr>
          <w:color w:val="231F20"/>
          <w:spacing w:val="-22"/>
          <w:w w:val="110"/>
        </w:rPr>
        <w:t xml:space="preserve"> </w:t>
      </w:r>
      <w:r>
        <w:rPr>
          <w:color w:val="231F20"/>
          <w:w w:val="110"/>
        </w:rPr>
        <w:t>sharing</w:t>
      </w:r>
      <w:r>
        <w:rPr>
          <w:color w:val="231F20"/>
          <w:spacing w:val="-22"/>
          <w:w w:val="110"/>
        </w:rPr>
        <w:t xml:space="preserve"> </w:t>
      </w:r>
      <w:r>
        <w:rPr>
          <w:color w:val="231F20"/>
          <w:w w:val="110"/>
        </w:rPr>
        <w:t>those</w:t>
      </w:r>
      <w:r>
        <w:rPr>
          <w:color w:val="231F20"/>
          <w:spacing w:val="-21"/>
          <w:w w:val="110"/>
        </w:rPr>
        <w:t xml:space="preserve"> </w:t>
      </w:r>
      <w:r>
        <w:rPr>
          <w:color w:val="231F20"/>
          <w:w w:val="110"/>
        </w:rPr>
        <w:t>features differentiating the CBO from the ASBO</w:t>
      </w:r>
      <w:r>
        <w:rPr>
          <w:color w:val="231F20"/>
          <w:spacing w:val="-31"/>
          <w:w w:val="110"/>
        </w:rPr>
        <w:t xml:space="preserve"> </w:t>
      </w:r>
      <w:r>
        <w:rPr>
          <w:color w:val="231F20"/>
          <w:w w:val="110"/>
        </w:rPr>
        <w:t>(standard</w:t>
      </w:r>
      <w:r>
        <w:rPr>
          <w:color w:val="231F20"/>
          <w:spacing w:val="-30"/>
          <w:w w:val="110"/>
        </w:rPr>
        <w:t xml:space="preserve"> </w:t>
      </w:r>
      <w:r>
        <w:rPr>
          <w:color w:val="231F20"/>
          <w:w w:val="110"/>
        </w:rPr>
        <w:t>of</w:t>
      </w:r>
      <w:r>
        <w:rPr>
          <w:color w:val="231F20"/>
          <w:spacing w:val="-31"/>
          <w:w w:val="110"/>
        </w:rPr>
        <w:t xml:space="preserve"> </w:t>
      </w:r>
      <w:r>
        <w:rPr>
          <w:color w:val="231F20"/>
          <w:w w:val="110"/>
        </w:rPr>
        <w:t>proof</w:t>
      </w:r>
      <w:r>
        <w:rPr>
          <w:color w:val="231F20"/>
          <w:spacing w:val="-30"/>
          <w:w w:val="110"/>
        </w:rPr>
        <w:t xml:space="preserve"> </w:t>
      </w:r>
      <w:r>
        <w:rPr>
          <w:color w:val="231F20"/>
          <w:w w:val="110"/>
        </w:rPr>
        <w:t>and</w:t>
      </w:r>
      <w:r>
        <w:rPr>
          <w:color w:val="231F20"/>
          <w:spacing w:val="-31"/>
          <w:w w:val="110"/>
        </w:rPr>
        <w:t xml:space="preserve"> </w:t>
      </w:r>
      <w:r>
        <w:rPr>
          <w:color w:val="231F20"/>
          <w:spacing w:val="-4"/>
          <w:w w:val="110"/>
        </w:rPr>
        <w:t xml:space="preserve">positive </w:t>
      </w:r>
      <w:r>
        <w:rPr>
          <w:color w:val="231F20"/>
          <w:w w:val="110"/>
        </w:rPr>
        <w:t>requirements),</w:t>
      </w:r>
      <w:r>
        <w:rPr>
          <w:color w:val="231F20"/>
          <w:spacing w:val="-38"/>
          <w:w w:val="110"/>
        </w:rPr>
        <w:t xml:space="preserve"> </w:t>
      </w:r>
      <w:r>
        <w:rPr>
          <w:color w:val="231F20"/>
          <w:w w:val="110"/>
        </w:rPr>
        <w:t>would</w:t>
      </w:r>
      <w:r>
        <w:rPr>
          <w:color w:val="231F20"/>
          <w:spacing w:val="-38"/>
          <w:w w:val="110"/>
        </w:rPr>
        <w:t xml:space="preserve"> </w:t>
      </w:r>
      <w:r>
        <w:rPr>
          <w:color w:val="231F20"/>
          <w:w w:val="110"/>
        </w:rPr>
        <w:t>alter</w:t>
      </w:r>
      <w:r>
        <w:rPr>
          <w:color w:val="231F20"/>
          <w:spacing w:val="-38"/>
          <w:w w:val="110"/>
        </w:rPr>
        <w:t xml:space="preserve"> </w:t>
      </w:r>
      <w:r>
        <w:rPr>
          <w:color w:val="231F20"/>
          <w:w w:val="110"/>
        </w:rPr>
        <w:t>the</w:t>
      </w:r>
      <w:r>
        <w:rPr>
          <w:color w:val="231F20"/>
          <w:spacing w:val="-37"/>
          <w:w w:val="110"/>
        </w:rPr>
        <w:t xml:space="preserve"> </w:t>
      </w:r>
      <w:r>
        <w:rPr>
          <w:color w:val="231F20"/>
          <w:w w:val="110"/>
        </w:rPr>
        <w:t>venue for applications – the injunction would</w:t>
      </w:r>
      <w:r>
        <w:rPr>
          <w:color w:val="231F20"/>
          <w:spacing w:val="-18"/>
          <w:w w:val="110"/>
        </w:rPr>
        <w:t xml:space="preserve"> </w:t>
      </w:r>
      <w:r>
        <w:rPr>
          <w:color w:val="231F20"/>
          <w:w w:val="110"/>
        </w:rPr>
        <w:t>be</w:t>
      </w:r>
      <w:r>
        <w:rPr>
          <w:color w:val="231F20"/>
          <w:spacing w:val="-18"/>
          <w:w w:val="110"/>
        </w:rPr>
        <w:t xml:space="preserve"> </w:t>
      </w:r>
      <w:r>
        <w:rPr>
          <w:color w:val="231F20"/>
          <w:w w:val="110"/>
        </w:rPr>
        <w:t>issued</w:t>
      </w:r>
      <w:r>
        <w:rPr>
          <w:color w:val="231F20"/>
          <w:spacing w:val="-18"/>
          <w:w w:val="110"/>
        </w:rPr>
        <w:t xml:space="preserve"> </w:t>
      </w:r>
      <w:r>
        <w:rPr>
          <w:color w:val="231F20"/>
          <w:w w:val="110"/>
        </w:rPr>
        <w:t>in</w:t>
      </w:r>
      <w:r>
        <w:rPr>
          <w:color w:val="231F20"/>
          <w:spacing w:val="-18"/>
          <w:w w:val="110"/>
        </w:rPr>
        <w:t xml:space="preserve"> </w:t>
      </w:r>
      <w:r>
        <w:rPr>
          <w:color w:val="231F20"/>
          <w:w w:val="110"/>
        </w:rPr>
        <w:t>the</w:t>
      </w:r>
      <w:r>
        <w:rPr>
          <w:color w:val="231F20"/>
          <w:spacing w:val="-18"/>
          <w:w w:val="110"/>
        </w:rPr>
        <w:t xml:space="preserve"> </w:t>
      </w:r>
      <w:r>
        <w:rPr>
          <w:color w:val="231F20"/>
          <w:w w:val="110"/>
        </w:rPr>
        <w:t>county</w:t>
      </w:r>
      <w:r>
        <w:rPr>
          <w:color w:val="231F20"/>
          <w:spacing w:val="-18"/>
          <w:w w:val="110"/>
        </w:rPr>
        <w:t xml:space="preserve"> </w:t>
      </w:r>
      <w:r>
        <w:rPr>
          <w:color w:val="231F20"/>
          <w:w w:val="110"/>
        </w:rPr>
        <w:t xml:space="preserve">court rather than on complaint in the magistrates’ court. </w:t>
      </w:r>
      <w:r>
        <w:rPr>
          <w:color w:val="231F20"/>
          <w:spacing w:val="-3"/>
          <w:w w:val="110"/>
        </w:rPr>
        <w:t xml:space="preserve">The </w:t>
      </w:r>
      <w:r>
        <w:rPr>
          <w:color w:val="231F20"/>
          <w:w w:val="110"/>
        </w:rPr>
        <w:t>CPI follows the</w:t>
      </w:r>
      <w:r>
        <w:rPr>
          <w:color w:val="231F20"/>
          <w:spacing w:val="-22"/>
          <w:w w:val="110"/>
        </w:rPr>
        <w:t xml:space="preserve"> </w:t>
      </w:r>
      <w:r>
        <w:rPr>
          <w:color w:val="231F20"/>
          <w:w w:val="110"/>
        </w:rPr>
        <w:t>model</w:t>
      </w:r>
      <w:r>
        <w:rPr>
          <w:color w:val="231F20"/>
          <w:spacing w:val="-21"/>
          <w:w w:val="110"/>
        </w:rPr>
        <w:t xml:space="preserve"> </w:t>
      </w:r>
      <w:r>
        <w:rPr>
          <w:color w:val="231F20"/>
          <w:w w:val="110"/>
        </w:rPr>
        <w:t>of</w:t>
      </w:r>
      <w:r>
        <w:rPr>
          <w:color w:val="231F20"/>
          <w:spacing w:val="-22"/>
          <w:w w:val="110"/>
        </w:rPr>
        <w:t xml:space="preserve"> </w:t>
      </w:r>
      <w:r>
        <w:rPr>
          <w:color w:val="231F20"/>
          <w:w w:val="110"/>
        </w:rPr>
        <w:t>‘injunctions</w:t>
      </w:r>
      <w:r>
        <w:rPr>
          <w:color w:val="231F20"/>
          <w:spacing w:val="-21"/>
          <w:w w:val="110"/>
        </w:rPr>
        <w:t xml:space="preserve"> </w:t>
      </w:r>
      <w:r>
        <w:rPr>
          <w:color w:val="231F20"/>
          <w:w w:val="110"/>
        </w:rPr>
        <w:t>to</w:t>
      </w:r>
      <w:r>
        <w:rPr>
          <w:color w:val="231F20"/>
          <w:spacing w:val="-22"/>
          <w:w w:val="110"/>
        </w:rPr>
        <w:t xml:space="preserve"> </w:t>
      </w:r>
      <w:r>
        <w:rPr>
          <w:color w:val="231F20"/>
          <w:w w:val="110"/>
        </w:rPr>
        <w:t>prevent gang-related violence’ (IPGV) under the</w:t>
      </w:r>
      <w:r>
        <w:rPr>
          <w:color w:val="231F20"/>
          <w:spacing w:val="-28"/>
          <w:w w:val="110"/>
        </w:rPr>
        <w:t xml:space="preserve"> </w:t>
      </w:r>
      <w:r>
        <w:rPr>
          <w:rFonts w:ascii="Book Antiqua" w:hAnsi="Book Antiqua"/>
          <w:i/>
          <w:color w:val="231F20"/>
          <w:w w:val="110"/>
        </w:rPr>
        <w:t>Policing</w:t>
      </w:r>
      <w:r>
        <w:rPr>
          <w:rFonts w:ascii="Book Antiqua" w:hAnsi="Book Antiqua"/>
          <w:i/>
          <w:color w:val="231F20"/>
          <w:spacing w:val="-22"/>
          <w:w w:val="110"/>
        </w:rPr>
        <w:t xml:space="preserve"> </w:t>
      </w:r>
      <w:r>
        <w:rPr>
          <w:rFonts w:ascii="Book Antiqua" w:hAnsi="Book Antiqua"/>
          <w:i/>
          <w:color w:val="231F20"/>
          <w:w w:val="110"/>
        </w:rPr>
        <w:t>and</w:t>
      </w:r>
      <w:r>
        <w:rPr>
          <w:rFonts w:ascii="Book Antiqua" w:hAnsi="Book Antiqua"/>
          <w:i/>
          <w:color w:val="231F20"/>
          <w:spacing w:val="-22"/>
          <w:w w:val="110"/>
        </w:rPr>
        <w:t xml:space="preserve"> </w:t>
      </w:r>
      <w:r>
        <w:rPr>
          <w:rFonts w:ascii="Book Antiqua" w:hAnsi="Book Antiqua"/>
          <w:i/>
          <w:color w:val="231F20"/>
          <w:w w:val="110"/>
        </w:rPr>
        <w:t>Crime</w:t>
      </w:r>
      <w:r>
        <w:rPr>
          <w:rFonts w:ascii="Book Antiqua" w:hAnsi="Book Antiqua"/>
          <w:i/>
          <w:color w:val="231F20"/>
          <w:spacing w:val="-25"/>
          <w:w w:val="110"/>
        </w:rPr>
        <w:t xml:space="preserve"> </w:t>
      </w:r>
      <w:r>
        <w:rPr>
          <w:rFonts w:ascii="Book Antiqua" w:hAnsi="Book Antiqua"/>
          <w:i/>
          <w:color w:val="231F20"/>
          <w:w w:val="110"/>
        </w:rPr>
        <w:t>Act</w:t>
      </w:r>
      <w:r>
        <w:rPr>
          <w:rFonts w:ascii="Book Antiqua" w:hAnsi="Book Antiqua"/>
          <w:i/>
          <w:color w:val="231F20"/>
          <w:spacing w:val="-22"/>
          <w:w w:val="110"/>
        </w:rPr>
        <w:t xml:space="preserve"> </w:t>
      </w:r>
      <w:r>
        <w:rPr>
          <w:rFonts w:ascii="Book Antiqua" w:hAnsi="Book Antiqua"/>
          <w:i/>
          <w:color w:val="231F20"/>
          <w:w w:val="110"/>
        </w:rPr>
        <w:t>2009</w:t>
      </w:r>
      <w:r>
        <w:rPr>
          <w:color w:val="231F20"/>
          <w:w w:val="110"/>
        </w:rPr>
        <w:t>.</w:t>
      </w:r>
      <w:r>
        <w:rPr>
          <w:color w:val="231F20"/>
          <w:spacing w:val="-33"/>
          <w:w w:val="110"/>
        </w:rPr>
        <w:t xml:space="preserve"> </w:t>
      </w:r>
      <w:r>
        <w:rPr>
          <w:color w:val="231F20"/>
          <w:w w:val="110"/>
        </w:rPr>
        <w:t>As with any injunction, breach would be a contempt of court but, unlike the</w:t>
      </w:r>
      <w:r>
        <w:rPr>
          <w:color w:val="231F20"/>
          <w:spacing w:val="-20"/>
          <w:w w:val="110"/>
        </w:rPr>
        <w:t xml:space="preserve"> </w:t>
      </w:r>
      <w:r>
        <w:rPr>
          <w:color w:val="231F20"/>
          <w:w w:val="110"/>
        </w:rPr>
        <w:t>ASBO,</w:t>
      </w:r>
      <w:r>
        <w:rPr>
          <w:color w:val="231F20"/>
          <w:spacing w:val="-12"/>
          <w:w w:val="110"/>
        </w:rPr>
        <w:t xml:space="preserve"> </w:t>
      </w:r>
      <w:r>
        <w:rPr>
          <w:color w:val="231F20"/>
          <w:w w:val="110"/>
        </w:rPr>
        <w:t>not</w:t>
      </w:r>
      <w:r>
        <w:rPr>
          <w:color w:val="231F20"/>
          <w:spacing w:val="-12"/>
          <w:w w:val="110"/>
        </w:rPr>
        <w:t xml:space="preserve"> </w:t>
      </w:r>
      <w:r>
        <w:rPr>
          <w:color w:val="231F20"/>
          <w:w w:val="110"/>
        </w:rPr>
        <w:t>a</w:t>
      </w:r>
      <w:r>
        <w:rPr>
          <w:color w:val="231F20"/>
          <w:spacing w:val="-12"/>
          <w:w w:val="110"/>
        </w:rPr>
        <w:t xml:space="preserve"> </w:t>
      </w:r>
      <w:r>
        <w:rPr>
          <w:color w:val="231F20"/>
          <w:w w:val="110"/>
        </w:rPr>
        <w:t>criminal</w:t>
      </w:r>
      <w:r>
        <w:rPr>
          <w:color w:val="231F20"/>
          <w:spacing w:val="-12"/>
          <w:w w:val="110"/>
        </w:rPr>
        <w:t xml:space="preserve"> </w:t>
      </w:r>
      <w:r>
        <w:rPr>
          <w:color w:val="231F20"/>
          <w:w w:val="110"/>
        </w:rPr>
        <w:t>offence.</w:t>
      </w:r>
    </w:p>
    <w:p w14:paraId="2DF2E622" w14:textId="77777777" w:rsidR="00E047A2" w:rsidRDefault="00000000">
      <w:pPr>
        <w:pStyle w:val="BodyText"/>
        <w:spacing w:before="5" w:line="247" w:lineRule="auto"/>
        <w:ind w:right="340"/>
      </w:pPr>
      <w:r>
        <w:rPr>
          <w:color w:val="231F20"/>
          <w:w w:val="105"/>
        </w:rPr>
        <w:t>Fines and imprisonment (for up to</w:t>
      </w:r>
      <w:r>
        <w:rPr>
          <w:color w:val="231F20"/>
          <w:spacing w:val="-14"/>
          <w:w w:val="105"/>
        </w:rPr>
        <w:t xml:space="preserve"> </w:t>
      </w:r>
      <w:r>
        <w:rPr>
          <w:color w:val="231F20"/>
          <w:w w:val="105"/>
        </w:rPr>
        <w:t>two</w:t>
      </w:r>
      <w:r>
        <w:rPr>
          <w:color w:val="231F20"/>
          <w:spacing w:val="-13"/>
          <w:w w:val="105"/>
        </w:rPr>
        <w:t xml:space="preserve"> </w:t>
      </w:r>
      <w:r>
        <w:rPr>
          <w:color w:val="231F20"/>
          <w:w w:val="105"/>
        </w:rPr>
        <w:t>years)</w:t>
      </w:r>
      <w:r>
        <w:rPr>
          <w:color w:val="231F20"/>
          <w:spacing w:val="-14"/>
          <w:w w:val="105"/>
        </w:rPr>
        <w:t xml:space="preserve"> </w:t>
      </w:r>
      <w:r>
        <w:rPr>
          <w:color w:val="231F20"/>
          <w:w w:val="105"/>
        </w:rPr>
        <w:t>would,</w:t>
      </w:r>
      <w:r>
        <w:rPr>
          <w:color w:val="231F20"/>
          <w:spacing w:val="-13"/>
          <w:w w:val="105"/>
        </w:rPr>
        <w:t xml:space="preserve"> </w:t>
      </w:r>
      <w:r>
        <w:rPr>
          <w:color w:val="231F20"/>
          <w:w w:val="105"/>
        </w:rPr>
        <w:t>therefore,</w:t>
      </w:r>
      <w:r>
        <w:rPr>
          <w:color w:val="231F20"/>
          <w:spacing w:val="-13"/>
          <w:w w:val="105"/>
        </w:rPr>
        <w:t xml:space="preserve"> </w:t>
      </w:r>
      <w:r>
        <w:rPr>
          <w:color w:val="231F20"/>
          <w:spacing w:val="-8"/>
          <w:w w:val="105"/>
        </w:rPr>
        <w:t xml:space="preserve">be </w:t>
      </w:r>
      <w:r>
        <w:rPr>
          <w:color w:val="231F20"/>
          <w:w w:val="105"/>
        </w:rPr>
        <w:t xml:space="preserve">available as a sanction for breach but there would be no criminal record. </w:t>
      </w:r>
      <w:proofErr w:type="gramStart"/>
      <w:r>
        <w:rPr>
          <w:color w:val="231F20"/>
          <w:w w:val="105"/>
        </w:rPr>
        <w:t>In order to</w:t>
      </w:r>
      <w:proofErr w:type="gramEnd"/>
      <w:r>
        <w:rPr>
          <w:color w:val="231F20"/>
          <w:w w:val="105"/>
        </w:rPr>
        <w:t xml:space="preserve"> make</w:t>
      </w:r>
      <w:r>
        <w:rPr>
          <w:color w:val="231F20"/>
          <w:spacing w:val="-35"/>
          <w:w w:val="105"/>
        </w:rPr>
        <w:t xml:space="preserve"> </w:t>
      </w:r>
      <w:r>
        <w:rPr>
          <w:color w:val="231F20"/>
          <w:w w:val="105"/>
        </w:rPr>
        <w:t>the</w:t>
      </w:r>
    </w:p>
    <w:p w14:paraId="5A7380DE" w14:textId="77777777" w:rsidR="00E047A2" w:rsidRDefault="00000000">
      <w:pPr>
        <w:pStyle w:val="BodyText"/>
        <w:spacing w:before="6" w:line="244" w:lineRule="auto"/>
        <w:ind w:right="125"/>
      </w:pPr>
      <w:r>
        <w:rPr>
          <w:color w:val="231F20"/>
          <w:w w:val="105"/>
        </w:rPr>
        <w:t xml:space="preserve">injunction workable in the case of children under 18, separate powers of supervision/detention for breach would, it is expected, be created for the CPI, as has been done for the IPGV in the </w:t>
      </w:r>
      <w:r>
        <w:rPr>
          <w:rFonts w:ascii="Book Antiqua"/>
          <w:i/>
          <w:color w:val="231F20"/>
          <w:w w:val="105"/>
        </w:rPr>
        <w:t xml:space="preserve">Crime and Security Act 2010 </w:t>
      </w:r>
      <w:r>
        <w:rPr>
          <w:color w:val="231F20"/>
          <w:w w:val="105"/>
        </w:rPr>
        <w:t>(although these provisions are not yet in force).</w:t>
      </w:r>
    </w:p>
    <w:p w14:paraId="1C239F50" w14:textId="77777777" w:rsidR="00E047A2" w:rsidRDefault="00000000">
      <w:pPr>
        <w:pStyle w:val="BodyText"/>
        <w:spacing w:before="7" w:line="247" w:lineRule="auto"/>
        <w:ind w:right="-9" w:firstLine="283"/>
      </w:pPr>
      <w:r>
        <w:rPr>
          <w:color w:val="231F20"/>
          <w:w w:val="110"/>
        </w:rPr>
        <w:t>Although in her July 2010 speech Theresa May had said that ‘a complete change</w:t>
      </w:r>
    </w:p>
    <w:p w14:paraId="1DA391A9" w14:textId="77777777" w:rsidR="00E047A2" w:rsidRDefault="00000000">
      <w:pPr>
        <w:pStyle w:val="BodyText"/>
        <w:spacing w:before="8" w:line="247" w:lineRule="auto"/>
        <w:ind w:right="904"/>
      </w:pPr>
      <w:r>
        <w:br w:type="column"/>
      </w:r>
      <w:r>
        <w:rPr>
          <w:color w:val="231F20"/>
          <w:w w:val="105"/>
        </w:rPr>
        <w:t xml:space="preserve">from the magistrates’ court to the county court will </w:t>
      </w:r>
      <w:proofErr w:type="gramStart"/>
      <w:r>
        <w:rPr>
          <w:color w:val="231F20"/>
          <w:w w:val="105"/>
        </w:rPr>
        <w:t>in itself make</w:t>
      </w:r>
      <w:proofErr w:type="gramEnd"/>
      <w:r>
        <w:rPr>
          <w:color w:val="231F20"/>
          <w:w w:val="105"/>
        </w:rPr>
        <w:t xml:space="preserve"> a great deal of difference either to recipients of orders or communities.</w:t>
      </w:r>
    </w:p>
    <w:p w14:paraId="2717D2D1" w14:textId="77777777" w:rsidR="00E047A2" w:rsidRDefault="00000000">
      <w:pPr>
        <w:pStyle w:val="BodyText"/>
        <w:spacing w:before="4" w:line="247" w:lineRule="auto"/>
        <w:ind w:right="1036"/>
      </w:pPr>
      <w:r>
        <w:rPr>
          <w:color w:val="231F20"/>
          <w:spacing w:val="-3"/>
          <w:w w:val="110"/>
        </w:rPr>
        <w:t xml:space="preserve">The </w:t>
      </w:r>
      <w:r>
        <w:rPr>
          <w:color w:val="231F20"/>
          <w:w w:val="110"/>
        </w:rPr>
        <w:t>academics Simon Hoffman and Stuart Macdonald</w:t>
      </w:r>
      <w:r>
        <w:rPr>
          <w:color w:val="231F20"/>
          <w:spacing w:val="-44"/>
          <w:w w:val="110"/>
        </w:rPr>
        <w:t xml:space="preserve"> </w:t>
      </w:r>
      <w:r>
        <w:rPr>
          <w:color w:val="231F20"/>
          <w:spacing w:val="-3"/>
          <w:w w:val="110"/>
        </w:rPr>
        <w:t xml:space="preserve">have argued </w:t>
      </w:r>
      <w:r>
        <w:rPr>
          <w:color w:val="231F20"/>
          <w:w w:val="110"/>
        </w:rPr>
        <w:t>for</w:t>
      </w:r>
      <w:r>
        <w:rPr>
          <w:color w:val="231F20"/>
          <w:spacing w:val="-14"/>
          <w:w w:val="110"/>
        </w:rPr>
        <w:t xml:space="preserve"> </w:t>
      </w:r>
      <w:r>
        <w:rPr>
          <w:color w:val="231F20"/>
          <w:w w:val="110"/>
        </w:rPr>
        <w:t>this</w:t>
      </w:r>
      <w:r>
        <w:rPr>
          <w:color w:val="231F20"/>
          <w:spacing w:val="-14"/>
          <w:w w:val="110"/>
        </w:rPr>
        <w:t xml:space="preserve"> </w:t>
      </w:r>
      <w:r>
        <w:rPr>
          <w:color w:val="231F20"/>
          <w:w w:val="110"/>
        </w:rPr>
        <w:t>change</w:t>
      </w:r>
      <w:r>
        <w:rPr>
          <w:color w:val="231F20"/>
          <w:spacing w:val="-14"/>
          <w:w w:val="110"/>
        </w:rPr>
        <w:t xml:space="preserve"> </w:t>
      </w:r>
      <w:r>
        <w:rPr>
          <w:color w:val="231F20"/>
          <w:w w:val="110"/>
        </w:rPr>
        <w:t>on</w:t>
      </w:r>
      <w:r>
        <w:rPr>
          <w:color w:val="231F20"/>
          <w:spacing w:val="-14"/>
          <w:w w:val="110"/>
        </w:rPr>
        <w:t xml:space="preserve"> </w:t>
      </w:r>
      <w:r>
        <w:rPr>
          <w:color w:val="231F20"/>
          <w:w w:val="110"/>
        </w:rPr>
        <w:t>the</w:t>
      </w:r>
      <w:r>
        <w:rPr>
          <w:color w:val="231F20"/>
          <w:spacing w:val="-14"/>
          <w:w w:val="110"/>
        </w:rPr>
        <w:t xml:space="preserve"> </w:t>
      </w:r>
      <w:r>
        <w:rPr>
          <w:color w:val="231F20"/>
          <w:w w:val="110"/>
        </w:rPr>
        <w:t>basis</w:t>
      </w:r>
      <w:r>
        <w:rPr>
          <w:color w:val="231F20"/>
          <w:spacing w:val="-14"/>
          <w:w w:val="110"/>
        </w:rPr>
        <w:t xml:space="preserve"> </w:t>
      </w:r>
      <w:r>
        <w:rPr>
          <w:color w:val="231F20"/>
          <w:w w:val="110"/>
        </w:rPr>
        <w:t>that</w:t>
      </w:r>
    </w:p>
    <w:p w14:paraId="57FF6E45" w14:textId="77777777" w:rsidR="00E047A2" w:rsidRDefault="00000000">
      <w:pPr>
        <w:pStyle w:val="BodyText"/>
        <w:spacing w:before="3" w:line="247" w:lineRule="auto"/>
        <w:ind w:right="750"/>
      </w:pPr>
      <w:r>
        <w:rPr>
          <w:color w:val="231F20"/>
          <w:w w:val="105"/>
        </w:rPr>
        <w:t>‘</w:t>
      </w:r>
      <w:proofErr w:type="gramStart"/>
      <w:r>
        <w:rPr>
          <w:color w:val="231F20"/>
          <w:w w:val="105"/>
        </w:rPr>
        <w:t>magistrates</w:t>
      </w:r>
      <w:proofErr w:type="gramEnd"/>
      <w:r>
        <w:rPr>
          <w:color w:val="231F20"/>
          <w:w w:val="105"/>
        </w:rPr>
        <w:t xml:space="preserve"> pay insufficient regard </w:t>
      </w:r>
      <w:r>
        <w:rPr>
          <w:color w:val="231F20"/>
          <w:spacing w:val="-8"/>
          <w:w w:val="105"/>
        </w:rPr>
        <w:t xml:space="preserve">to </w:t>
      </w:r>
      <w:r>
        <w:rPr>
          <w:color w:val="231F20"/>
          <w:w w:val="105"/>
        </w:rPr>
        <w:t>the statutory test of necessity when deciding whether to make an order’ and that ‘prohibitions</w:t>
      </w:r>
      <w:r>
        <w:rPr>
          <w:color w:val="231F20"/>
          <w:spacing w:val="6"/>
          <w:w w:val="105"/>
        </w:rPr>
        <w:t xml:space="preserve"> </w:t>
      </w:r>
      <w:r>
        <w:rPr>
          <w:color w:val="231F20"/>
          <w:w w:val="105"/>
        </w:rPr>
        <w:t>contained</w:t>
      </w:r>
    </w:p>
    <w:p w14:paraId="7D363ECE" w14:textId="77777777" w:rsidR="00E047A2" w:rsidRDefault="00000000">
      <w:pPr>
        <w:pStyle w:val="BodyText"/>
        <w:spacing w:before="5" w:line="247" w:lineRule="auto"/>
        <w:ind w:right="1203"/>
      </w:pPr>
      <w:r>
        <w:rPr>
          <w:color w:val="231F20"/>
          <w:w w:val="105"/>
        </w:rPr>
        <w:t>in ASBOs made by magistrates are often formulaic and poorly</w:t>
      </w:r>
    </w:p>
    <w:p w14:paraId="25145AB3" w14:textId="77777777" w:rsidR="00E047A2" w:rsidRDefault="00000000">
      <w:pPr>
        <w:pStyle w:val="BodyText"/>
        <w:spacing w:before="2" w:line="247" w:lineRule="auto"/>
        <w:ind w:right="904"/>
      </w:pPr>
      <w:r>
        <w:rPr>
          <w:color w:val="231F20"/>
          <w:w w:val="105"/>
        </w:rPr>
        <w:t>targeted’ (Hoffman and Macdonald, 2010). However, the latter failing</w:t>
      </w:r>
    </w:p>
    <w:p w14:paraId="18E8543B" w14:textId="77777777" w:rsidR="00E047A2" w:rsidRDefault="00000000">
      <w:pPr>
        <w:pStyle w:val="BodyText"/>
        <w:spacing w:before="2" w:line="247" w:lineRule="auto"/>
        <w:ind w:right="1091"/>
      </w:pPr>
      <w:r>
        <w:rPr>
          <w:color w:val="231F20"/>
          <w:w w:val="110"/>
        </w:rPr>
        <w:t>of ASBOs is in large part due to the</w:t>
      </w:r>
      <w:r>
        <w:rPr>
          <w:color w:val="231F20"/>
          <w:spacing w:val="-31"/>
          <w:w w:val="110"/>
        </w:rPr>
        <w:t xml:space="preserve"> </w:t>
      </w:r>
      <w:r>
        <w:rPr>
          <w:color w:val="231F20"/>
          <w:w w:val="110"/>
        </w:rPr>
        <w:t>orders</w:t>
      </w:r>
      <w:r>
        <w:rPr>
          <w:color w:val="231F20"/>
          <w:spacing w:val="-31"/>
          <w:w w:val="110"/>
        </w:rPr>
        <w:t xml:space="preserve"> </w:t>
      </w:r>
      <w:r>
        <w:rPr>
          <w:color w:val="231F20"/>
          <w:w w:val="110"/>
        </w:rPr>
        <w:t>being</w:t>
      </w:r>
      <w:r>
        <w:rPr>
          <w:color w:val="231F20"/>
          <w:spacing w:val="-31"/>
          <w:w w:val="110"/>
        </w:rPr>
        <w:t xml:space="preserve"> </w:t>
      </w:r>
      <w:r>
        <w:rPr>
          <w:color w:val="231F20"/>
          <w:w w:val="110"/>
        </w:rPr>
        <w:t>granted</w:t>
      </w:r>
      <w:r>
        <w:rPr>
          <w:color w:val="231F20"/>
          <w:spacing w:val="-31"/>
          <w:w w:val="110"/>
        </w:rPr>
        <w:t xml:space="preserve"> </w:t>
      </w:r>
      <w:r>
        <w:rPr>
          <w:color w:val="231F20"/>
          <w:w w:val="110"/>
        </w:rPr>
        <w:t>wholly</w:t>
      </w:r>
      <w:r>
        <w:rPr>
          <w:color w:val="231F20"/>
          <w:spacing w:val="-30"/>
          <w:w w:val="110"/>
        </w:rPr>
        <w:t xml:space="preserve"> </w:t>
      </w:r>
      <w:r>
        <w:rPr>
          <w:color w:val="231F20"/>
          <w:spacing w:val="-8"/>
          <w:w w:val="110"/>
        </w:rPr>
        <w:t xml:space="preserve">or </w:t>
      </w:r>
      <w:r>
        <w:rPr>
          <w:color w:val="231F20"/>
          <w:w w:val="110"/>
        </w:rPr>
        <w:t xml:space="preserve">largely in the form in which they </w:t>
      </w:r>
      <w:r>
        <w:rPr>
          <w:color w:val="231F20"/>
          <w:spacing w:val="-3"/>
          <w:w w:val="110"/>
        </w:rPr>
        <w:t xml:space="preserve">have </w:t>
      </w:r>
      <w:r>
        <w:rPr>
          <w:color w:val="231F20"/>
          <w:w w:val="110"/>
        </w:rPr>
        <w:t>been drafted by</w:t>
      </w:r>
      <w:r>
        <w:rPr>
          <w:color w:val="231F20"/>
          <w:spacing w:val="-33"/>
          <w:w w:val="110"/>
        </w:rPr>
        <w:t xml:space="preserve"> </w:t>
      </w:r>
      <w:r>
        <w:rPr>
          <w:color w:val="231F20"/>
          <w:w w:val="110"/>
        </w:rPr>
        <w:t>applicants.</w:t>
      </w:r>
    </w:p>
    <w:p w14:paraId="23F40EB0" w14:textId="77777777" w:rsidR="00E047A2" w:rsidRDefault="00000000">
      <w:pPr>
        <w:pStyle w:val="BodyText"/>
        <w:spacing w:before="5" w:line="247" w:lineRule="auto"/>
        <w:ind w:right="874"/>
      </w:pPr>
      <w:r>
        <w:rPr>
          <w:color w:val="231F20"/>
          <w:w w:val="105"/>
        </w:rPr>
        <w:t xml:space="preserve">Since it is likely that applicant local authorities and police forces would continue to draft CPIs, the county court would </w:t>
      </w:r>
      <w:r>
        <w:rPr>
          <w:color w:val="231F20"/>
          <w:spacing w:val="-3"/>
          <w:w w:val="105"/>
        </w:rPr>
        <w:t xml:space="preserve">have </w:t>
      </w:r>
      <w:r>
        <w:rPr>
          <w:color w:val="231F20"/>
          <w:w w:val="105"/>
        </w:rPr>
        <w:t xml:space="preserve">to be relied upon to take a restrictive approach, removing </w:t>
      </w:r>
      <w:proofErr w:type="gramStart"/>
      <w:r>
        <w:rPr>
          <w:color w:val="231F20"/>
          <w:w w:val="105"/>
        </w:rPr>
        <w:t>overbroad  prohibitions</w:t>
      </w:r>
      <w:proofErr w:type="gramEnd"/>
      <w:r>
        <w:rPr>
          <w:color w:val="231F20"/>
          <w:w w:val="105"/>
        </w:rPr>
        <w:t xml:space="preserve"> and requirements where </w:t>
      </w:r>
      <w:r>
        <w:rPr>
          <w:color w:val="231F20"/>
          <w:spacing w:val="-2"/>
          <w:w w:val="105"/>
        </w:rPr>
        <w:t xml:space="preserve">appropriate. </w:t>
      </w:r>
      <w:r>
        <w:rPr>
          <w:color w:val="231F20"/>
          <w:spacing w:val="-3"/>
          <w:w w:val="105"/>
        </w:rPr>
        <w:t xml:space="preserve">However, </w:t>
      </w:r>
      <w:r>
        <w:rPr>
          <w:color w:val="231F20"/>
          <w:w w:val="105"/>
        </w:rPr>
        <w:t xml:space="preserve">in </w:t>
      </w:r>
      <w:r>
        <w:rPr>
          <w:rFonts w:ascii="Book Antiqua" w:hAnsi="Book Antiqua"/>
          <w:i/>
          <w:color w:val="231F20"/>
          <w:w w:val="105"/>
        </w:rPr>
        <w:t xml:space="preserve">Birmingham City Council v Flatt </w:t>
      </w:r>
      <w:r>
        <w:rPr>
          <w:color w:val="231F20"/>
          <w:w w:val="105"/>
        </w:rPr>
        <w:t xml:space="preserve">[2008] </w:t>
      </w:r>
      <w:r>
        <w:rPr>
          <w:color w:val="231F20"/>
          <w:spacing w:val="-3"/>
          <w:w w:val="105"/>
        </w:rPr>
        <w:t xml:space="preserve">EWCA </w:t>
      </w:r>
      <w:r>
        <w:rPr>
          <w:color w:val="231F20"/>
          <w:w w:val="105"/>
        </w:rPr>
        <w:t>Civ 739, for example, the type of</w:t>
      </w:r>
      <w:r>
        <w:rPr>
          <w:color w:val="231F20"/>
          <w:spacing w:val="30"/>
          <w:w w:val="105"/>
        </w:rPr>
        <w:t xml:space="preserve"> </w:t>
      </w:r>
      <w:r>
        <w:rPr>
          <w:color w:val="231F20"/>
          <w:w w:val="105"/>
        </w:rPr>
        <w:t>‘catch-</w:t>
      </w:r>
    </w:p>
    <w:p w14:paraId="64E432B4" w14:textId="77777777" w:rsidR="00E047A2" w:rsidRDefault="00000000">
      <w:pPr>
        <w:pStyle w:val="BodyText"/>
        <w:spacing w:line="223" w:lineRule="exact"/>
        <w:ind w:left="1752"/>
      </w:pPr>
      <w:r>
        <w:rPr>
          <w:color w:val="231F20"/>
          <w:w w:val="115"/>
        </w:rPr>
        <w:t>all’ prohibition</w:t>
      </w:r>
    </w:p>
    <w:p w14:paraId="217A0925" w14:textId="77777777" w:rsidR="00E047A2" w:rsidRDefault="00E047A2">
      <w:pPr>
        <w:spacing w:line="223" w:lineRule="exact"/>
        <w:sectPr w:rsidR="00E047A2">
          <w:type w:val="continuous"/>
          <w:pgSz w:w="11910" w:h="16840"/>
          <w:pgMar w:top="0" w:right="0" w:bottom="280" w:left="740" w:header="720" w:footer="720" w:gutter="0"/>
          <w:cols w:num="3" w:space="720" w:equalWidth="0">
            <w:col w:w="3295" w:space="201"/>
            <w:col w:w="3346" w:space="150"/>
            <w:col w:w="4178"/>
          </w:cols>
        </w:sectPr>
      </w:pPr>
    </w:p>
    <w:p w14:paraId="61BD9D8A" w14:textId="77777777" w:rsidR="00E047A2" w:rsidRDefault="00000000">
      <w:pPr>
        <w:pStyle w:val="BodyText"/>
        <w:spacing w:line="247" w:lineRule="auto"/>
        <w:ind w:right="-4"/>
      </w:pPr>
      <w:r>
        <w:rPr>
          <w:color w:val="231F20"/>
          <w:w w:val="105"/>
        </w:rPr>
        <w:t xml:space="preserve">instruments: the ‘crime prevention injunction’ and the ‘criminal </w:t>
      </w:r>
      <w:proofErr w:type="spellStart"/>
      <w:r>
        <w:rPr>
          <w:color w:val="231F20"/>
          <w:w w:val="105"/>
        </w:rPr>
        <w:t>behaviour</w:t>
      </w:r>
      <w:proofErr w:type="spellEnd"/>
      <w:r>
        <w:rPr>
          <w:color w:val="231F20"/>
          <w:w w:val="105"/>
        </w:rPr>
        <w:t xml:space="preserve"> order’. The criminal </w:t>
      </w:r>
      <w:proofErr w:type="spellStart"/>
      <w:r>
        <w:rPr>
          <w:color w:val="231F20"/>
          <w:w w:val="105"/>
        </w:rPr>
        <w:t>behaviour</w:t>
      </w:r>
      <w:proofErr w:type="spellEnd"/>
      <w:r>
        <w:rPr>
          <w:color w:val="231F20"/>
          <w:w w:val="105"/>
        </w:rPr>
        <w:t xml:space="preserve"> order (CBO) would replace the ‘post-conviction’ ASBO or ‘</w:t>
      </w:r>
      <w:proofErr w:type="spellStart"/>
      <w:r>
        <w:rPr>
          <w:color w:val="231F20"/>
          <w:w w:val="105"/>
        </w:rPr>
        <w:t>crASBO</w:t>
      </w:r>
      <w:proofErr w:type="spellEnd"/>
      <w:r>
        <w:rPr>
          <w:color w:val="231F20"/>
          <w:w w:val="105"/>
        </w:rPr>
        <w:t xml:space="preserve">’ issued under section 1C of the </w:t>
      </w:r>
      <w:r>
        <w:rPr>
          <w:rFonts w:ascii="Book Antiqua" w:hAnsi="Book Antiqua"/>
          <w:i/>
          <w:color w:val="231F20"/>
          <w:w w:val="105"/>
        </w:rPr>
        <w:t>Crime and Disorder Act 1998</w:t>
      </w:r>
      <w:r>
        <w:rPr>
          <w:color w:val="231F20"/>
          <w:w w:val="105"/>
        </w:rPr>
        <w:t xml:space="preserve">. It would differ from the </w:t>
      </w:r>
      <w:proofErr w:type="spellStart"/>
      <w:r>
        <w:rPr>
          <w:color w:val="231F20"/>
          <w:w w:val="105"/>
        </w:rPr>
        <w:t>crASBO</w:t>
      </w:r>
      <w:proofErr w:type="spellEnd"/>
      <w:r>
        <w:rPr>
          <w:color w:val="231F20"/>
          <w:w w:val="105"/>
        </w:rPr>
        <w:t xml:space="preserve"> in</w:t>
      </w:r>
    </w:p>
    <w:p w14:paraId="4251B3D0" w14:textId="77777777" w:rsidR="00E047A2" w:rsidRDefault="00000000">
      <w:pPr>
        <w:pStyle w:val="BodyText"/>
        <w:spacing w:line="247" w:lineRule="auto"/>
        <w:ind w:right="38"/>
      </w:pPr>
      <w:r>
        <w:br w:type="column"/>
      </w:r>
      <w:r>
        <w:rPr>
          <w:color w:val="231F20"/>
          <w:w w:val="110"/>
        </w:rPr>
        <w:t>in emphasis’ was needed</w:t>
      </w:r>
      <w:r>
        <w:rPr>
          <w:color w:val="231F20"/>
          <w:spacing w:val="-30"/>
          <w:w w:val="110"/>
        </w:rPr>
        <w:t xml:space="preserve"> </w:t>
      </w:r>
      <w:r>
        <w:rPr>
          <w:color w:val="231F20"/>
          <w:w w:val="110"/>
        </w:rPr>
        <w:t>in</w:t>
      </w:r>
      <w:r>
        <w:rPr>
          <w:color w:val="231F20"/>
          <w:spacing w:val="-30"/>
          <w:w w:val="110"/>
        </w:rPr>
        <w:t xml:space="preserve"> </w:t>
      </w:r>
      <w:r>
        <w:rPr>
          <w:color w:val="231F20"/>
          <w:w w:val="110"/>
        </w:rPr>
        <w:t xml:space="preserve">relation to anti-social </w:t>
      </w:r>
      <w:proofErr w:type="spellStart"/>
      <w:r>
        <w:rPr>
          <w:color w:val="231F20"/>
          <w:w w:val="110"/>
        </w:rPr>
        <w:t>behaviour</w:t>
      </w:r>
      <w:proofErr w:type="spellEnd"/>
      <w:r>
        <w:rPr>
          <w:color w:val="231F20"/>
          <w:w w:val="110"/>
        </w:rPr>
        <w:t xml:space="preserve"> owing to high breach rates and falling </w:t>
      </w:r>
      <w:r>
        <w:rPr>
          <w:color w:val="231F20"/>
          <w:w w:val="105"/>
        </w:rPr>
        <w:t>take-up of</w:t>
      </w:r>
      <w:r>
        <w:rPr>
          <w:color w:val="231F20"/>
          <w:spacing w:val="-22"/>
          <w:w w:val="105"/>
        </w:rPr>
        <w:t xml:space="preserve"> </w:t>
      </w:r>
      <w:r>
        <w:rPr>
          <w:color w:val="231F20"/>
          <w:w w:val="105"/>
        </w:rPr>
        <w:t xml:space="preserve">ASBOs, </w:t>
      </w:r>
      <w:r>
        <w:rPr>
          <w:color w:val="231F20"/>
          <w:w w:val="110"/>
        </w:rPr>
        <w:t>‘with</w:t>
      </w:r>
    </w:p>
    <w:p w14:paraId="536C15FE" w14:textId="77777777" w:rsidR="00E047A2" w:rsidRDefault="00000000">
      <w:pPr>
        <w:pStyle w:val="Heading1"/>
        <w:spacing w:before="4" w:line="244" w:lineRule="auto"/>
        <w:ind w:right="38" w:hanging="1"/>
      </w:pPr>
      <w:r>
        <w:rPr>
          <w:i w:val="0"/>
        </w:rPr>
        <w:br w:type="column"/>
      </w:r>
      <w:r>
        <w:rPr>
          <w:color w:val="231F20"/>
          <w:w w:val="95"/>
        </w:rPr>
        <w:t xml:space="preserve">The consultation fails </w:t>
      </w:r>
      <w:r>
        <w:rPr>
          <w:color w:val="231F20"/>
        </w:rPr>
        <w:t>to</w:t>
      </w:r>
      <w:r>
        <w:rPr>
          <w:color w:val="231F20"/>
          <w:spacing w:val="-34"/>
        </w:rPr>
        <w:t xml:space="preserve"> </w:t>
      </w:r>
      <w:r>
        <w:rPr>
          <w:color w:val="231F20"/>
        </w:rPr>
        <w:t>move</w:t>
      </w:r>
      <w:r>
        <w:rPr>
          <w:color w:val="231F20"/>
          <w:spacing w:val="-33"/>
        </w:rPr>
        <w:t xml:space="preserve"> </w:t>
      </w:r>
      <w:r>
        <w:rPr>
          <w:color w:val="231F20"/>
        </w:rPr>
        <w:t>beyond</w:t>
      </w:r>
      <w:r>
        <w:rPr>
          <w:color w:val="231F20"/>
          <w:spacing w:val="-33"/>
        </w:rPr>
        <w:t xml:space="preserve"> </w:t>
      </w:r>
      <w:r>
        <w:rPr>
          <w:color w:val="231F20"/>
        </w:rPr>
        <w:t xml:space="preserve">using </w:t>
      </w:r>
      <w:r>
        <w:rPr>
          <w:color w:val="231F20"/>
          <w:w w:val="95"/>
        </w:rPr>
        <w:t>coercive</w:t>
      </w:r>
      <w:r>
        <w:rPr>
          <w:color w:val="231F20"/>
          <w:spacing w:val="-19"/>
          <w:w w:val="95"/>
        </w:rPr>
        <w:t xml:space="preserve"> </w:t>
      </w:r>
      <w:r>
        <w:rPr>
          <w:color w:val="231F20"/>
          <w:w w:val="95"/>
        </w:rPr>
        <w:t>court</w:t>
      </w:r>
      <w:r>
        <w:rPr>
          <w:color w:val="231F20"/>
          <w:spacing w:val="-18"/>
          <w:w w:val="95"/>
        </w:rPr>
        <w:t xml:space="preserve"> </w:t>
      </w:r>
      <w:r>
        <w:rPr>
          <w:color w:val="231F20"/>
          <w:w w:val="95"/>
        </w:rPr>
        <w:t>orders</w:t>
      </w:r>
      <w:r>
        <w:rPr>
          <w:color w:val="231F20"/>
          <w:spacing w:val="-19"/>
          <w:w w:val="95"/>
        </w:rPr>
        <w:t xml:space="preserve"> </w:t>
      </w:r>
      <w:r>
        <w:rPr>
          <w:color w:val="231F20"/>
          <w:spacing w:val="-9"/>
          <w:w w:val="95"/>
        </w:rPr>
        <w:t xml:space="preserve">to </w:t>
      </w:r>
      <w:r>
        <w:rPr>
          <w:color w:val="231F20"/>
        </w:rPr>
        <w:t>deal with</w:t>
      </w:r>
      <w:r>
        <w:rPr>
          <w:color w:val="231F20"/>
          <w:spacing w:val="-9"/>
        </w:rPr>
        <w:t xml:space="preserve"> </w:t>
      </w:r>
      <w:r>
        <w:rPr>
          <w:color w:val="231F20"/>
        </w:rPr>
        <w:t>ASB</w:t>
      </w:r>
    </w:p>
    <w:p w14:paraId="74948C89" w14:textId="77777777" w:rsidR="00E047A2" w:rsidRDefault="00000000">
      <w:pPr>
        <w:pStyle w:val="BodyText"/>
        <w:spacing w:line="209" w:lineRule="exact"/>
      </w:pPr>
      <w:r>
        <w:br w:type="column"/>
      </w:r>
      <w:proofErr w:type="spellStart"/>
      <w:r>
        <w:rPr>
          <w:color w:val="231F20"/>
          <w:w w:val="110"/>
        </w:rPr>
        <w:t>criticised</w:t>
      </w:r>
      <w:proofErr w:type="spellEnd"/>
      <w:r>
        <w:rPr>
          <w:color w:val="231F20"/>
          <w:w w:val="110"/>
        </w:rPr>
        <w:t xml:space="preserve"> in</w:t>
      </w:r>
    </w:p>
    <w:p w14:paraId="01E046C1" w14:textId="77777777" w:rsidR="00E047A2" w:rsidRDefault="00000000">
      <w:pPr>
        <w:spacing w:before="8" w:line="244" w:lineRule="auto"/>
        <w:ind w:left="110" w:right="791"/>
        <w:rPr>
          <w:sz w:val="20"/>
        </w:rPr>
      </w:pPr>
      <w:r>
        <w:rPr>
          <w:color w:val="231F20"/>
          <w:w w:val="105"/>
          <w:sz w:val="20"/>
        </w:rPr>
        <w:t xml:space="preserve">relation to ASBOs in cases such as </w:t>
      </w:r>
      <w:r>
        <w:rPr>
          <w:rFonts w:ascii="Book Antiqua"/>
          <w:i/>
          <w:color w:val="231F20"/>
          <w:w w:val="105"/>
          <w:sz w:val="20"/>
        </w:rPr>
        <w:t xml:space="preserve">Heron v Plymouth City Council </w:t>
      </w:r>
      <w:r>
        <w:rPr>
          <w:color w:val="231F20"/>
          <w:w w:val="105"/>
          <w:sz w:val="20"/>
        </w:rPr>
        <w:t>[2009] EWHC</w:t>
      </w:r>
    </w:p>
    <w:p w14:paraId="14070BA5" w14:textId="77777777" w:rsidR="00E047A2" w:rsidRDefault="00000000">
      <w:pPr>
        <w:pStyle w:val="BodyText"/>
        <w:spacing w:line="247" w:lineRule="auto"/>
        <w:ind w:right="1046"/>
      </w:pPr>
      <w:r>
        <w:rPr>
          <w:color w:val="231F20"/>
          <w:w w:val="110"/>
        </w:rPr>
        <w:t>3562 (Admin) was included in</w:t>
      </w:r>
    </w:p>
    <w:p w14:paraId="6D566EE4" w14:textId="77777777" w:rsidR="00E047A2" w:rsidRDefault="00E047A2">
      <w:pPr>
        <w:spacing w:line="247" w:lineRule="auto"/>
        <w:sectPr w:rsidR="00E047A2">
          <w:type w:val="continuous"/>
          <w:pgSz w:w="11910" w:h="16840"/>
          <w:pgMar w:top="0" w:right="0" w:bottom="280" w:left="740" w:header="720" w:footer="720" w:gutter="0"/>
          <w:cols w:num="4" w:space="720" w:equalWidth="0">
            <w:col w:w="3297" w:space="199"/>
            <w:col w:w="1715" w:space="218"/>
            <w:col w:w="2993" w:space="212"/>
            <w:col w:w="2536"/>
          </w:cols>
        </w:sectPr>
      </w:pPr>
    </w:p>
    <w:p w14:paraId="27E90948" w14:textId="77777777" w:rsidR="00E047A2" w:rsidRDefault="00000000">
      <w:pPr>
        <w:pStyle w:val="BodyText"/>
        <w:spacing w:line="247" w:lineRule="auto"/>
        <w:ind w:right="241"/>
      </w:pPr>
      <w:r>
        <w:rPr>
          <w:color w:val="231F20"/>
          <w:w w:val="110"/>
        </w:rPr>
        <w:t>that it could be granted on the balance of probabilities and could impose positive requirements in addition</w:t>
      </w:r>
      <w:r>
        <w:rPr>
          <w:color w:val="231F20"/>
          <w:spacing w:val="-24"/>
          <w:w w:val="110"/>
        </w:rPr>
        <w:t xml:space="preserve"> </w:t>
      </w:r>
      <w:r>
        <w:rPr>
          <w:color w:val="231F20"/>
          <w:w w:val="110"/>
        </w:rPr>
        <w:t>to</w:t>
      </w:r>
      <w:r>
        <w:rPr>
          <w:color w:val="231F20"/>
          <w:spacing w:val="-24"/>
          <w:w w:val="110"/>
        </w:rPr>
        <w:t xml:space="preserve"> </w:t>
      </w:r>
      <w:r>
        <w:rPr>
          <w:color w:val="231F20"/>
          <w:w w:val="110"/>
        </w:rPr>
        <w:t>prohibitions</w:t>
      </w:r>
      <w:r>
        <w:rPr>
          <w:color w:val="231F20"/>
          <w:spacing w:val="-24"/>
          <w:w w:val="110"/>
        </w:rPr>
        <w:t xml:space="preserve"> </w:t>
      </w:r>
      <w:r>
        <w:rPr>
          <w:color w:val="231F20"/>
          <w:w w:val="110"/>
        </w:rPr>
        <w:t>(and</w:t>
      </w:r>
      <w:r>
        <w:rPr>
          <w:color w:val="231F20"/>
          <w:spacing w:val="-23"/>
          <w:w w:val="110"/>
        </w:rPr>
        <w:t xml:space="preserve"> </w:t>
      </w:r>
      <w:r>
        <w:rPr>
          <w:color w:val="231F20"/>
          <w:spacing w:val="-4"/>
          <w:w w:val="110"/>
        </w:rPr>
        <w:t xml:space="preserve">could </w:t>
      </w:r>
      <w:r>
        <w:rPr>
          <w:color w:val="231F20"/>
          <w:w w:val="110"/>
        </w:rPr>
        <w:t>therefore look much like a community</w:t>
      </w:r>
      <w:r>
        <w:rPr>
          <w:color w:val="231F20"/>
          <w:spacing w:val="-9"/>
          <w:w w:val="110"/>
        </w:rPr>
        <w:t xml:space="preserve"> </w:t>
      </w:r>
      <w:r>
        <w:rPr>
          <w:color w:val="231F20"/>
          <w:w w:val="110"/>
        </w:rPr>
        <w:t>sentence).</w:t>
      </w:r>
    </w:p>
    <w:p w14:paraId="3215CABA" w14:textId="77777777" w:rsidR="00E047A2" w:rsidRDefault="00000000">
      <w:pPr>
        <w:spacing w:before="197" w:line="242" w:lineRule="auto"/>
        <w:ind w:left="110" w:right="37"/>
        <w:rPr>
          <w:sz w:val="20"/>
        </w:rPr>
      </w:pPr>
      <w:r>
        <w:rPr>
          <w:rFonts w:ascii="Calibri"/>
          <w:b/>
          <w:color w:val="231F20"/>
          <w:w w:val="105"/>
          <w:sz w:val="24"/>
        </w:rPr>
        <w:t xml:space="preserve">Crime prevention injunctions </w:t>
      </w:r>
      <w:r>
        <w:rPr>
          <w:color w:val="231F20"/>
          <w:spacing w:val="-3"/>
          <w:w w:val="105"/>
          <w:sz w:val="20"/>
        </w:rPr>
        <w:t xml:space="preserve">This </w:t>
      </w:r>
      <w:r>
        <w:rPr>
          <w:color w:val="231F20"/>
          <w:w w:val="105"/>
          <w:sz w:val="20"/>
        </w:rPr>
        <w:t xml:space="preserve">article, </w:t>
      </w:r>
      <w:r>
        <w:rPr>
          <w:color w:val="231F20"/>
          <w:spacing w:val="-3"/>
          <w:w w:val="105"/>
          <w:sz w:val="20"/>
        </w:rPr>
        <w:t xml:space="preserve">however, </w:t>
      </w:r>
      <w:r>
        <w:rPr>
          <w:color w:val="231F20"/>
          <w:w w:val="105"/>
          <w:sz w:val="20"/>
        </w:rPr>
        <w:t xml:space="preserve">will focus </w:t>
      </w:r>
      <w:r>
        <w:rPr>
          <w:color w:val="231F20"/>
          <w:spacing w:val="-4"/>
          <w:w w:val="105"/>
          <w:sz w:val="20"/>
        </w:rPr>
        <w:t xml:space="preserve">upon </w:t>
      </w:r>
      <w:r>
        <w:rPr>
          <w:color w:val="231F20"/>
          <w:w w:val="105"/>
          <w:sz w:val="20"/>
        </w:rPr>
        <w:t>the crime prevention injunction (CPI) available without conviction</w:t>
      </w:r>
      <w:r>
        <w:rPr>
          <w:color w:val="231F20"/>
          <w:spacing w:val="58"/>
          <w:w w:val="105"/>
          <w:sz w:val="20"/>
        </w:rPr>
        <w:t xml:space="preserve"> </w:t>
      </w:r>
      <w:r>
        <w:rPr>
          <w:color w:val="231F20"/>
          <w:w w:val="105"/>
          <w:sz w:val="20"/>
        </w:rPr>
        <w:t>which,</w:t>
      </w:r>
    </w:p>
    <w:p w14:paraId="090F048F" w14:textId="77777777" w:rsidR="00E047A2" w:rsidRDefault="00000000">
      <w:pPr>
        <w:pStyle w:val="BodyText"/>
        <w:spacing w:line="247" w:lineRule="auto"/>
        <w:ind w:right="28"/>
      </w:pPr>
      <w:r>
        <w:br w:type="column"/>
      </w:r>
      <w:r>
        <w:rPr>
          <w:color w:val="231F20"/>
          <w:w w:val="105"/>
        </w:rPr>
        <w:t xml:space="preserve">communities working with the police and other agencies to stop bad </w:t>
      </w:r>
      <w:proofErr w:type="spellStart"/>
      <w:r>
        <w:rPr>
          <w:color w:val="231F20"/>
          <w:w w:val="105"/>
        </w:rPr>
        <w:t>behaviour</w:t>
      </w:r>
      <w:proofErr w:type="spellEnd"/>
      <w:r>
        <w:rPr>
          <w:color w:val="231F20"/>
          <w:w w:val="105"/>
        </w:rPr>
        <w:t xml:space="preserve"> escalating that far’, the consultation fails to move beyond the model of using coercive court orders to deal with anti-social </w:t>
      </w:r>
      <w:proofErr w:type="spellStart"/>
      <w:r>
        <w:rPr>
          <w:color w:val="231F20"/>
          <w:w w:val="105"/>
        </w:rPr>
        <w:t>behaviour</w:t>
      </w:r>
      <w:proofErr w:type="spellEnd"/>
      <w:r>
        <w:rPr>
          <w:color w:val="231F20"/>
          <w:w w:val="105"/>
        </w:rPr>
        <w:t>.</w:t>
      </w:r>
    </w:p>
    <w:p w14:paraId="202EA443" w14:textId="77777777" w:rsidR="00E047A2" w:rsidRDefault="00000000">
      <w:pPr>
        <w:pStyle w:val="BodyText"/>
        <w:spacing w:line="247" w:lineRule="auto"/>
        <w:ind w:right="54"/>
      </w:pPr>
      <w:r>
        <w:rPr>
          <w:color w:val="231F20"/>
          <w:w w:val="110"/>
        </w:rPr>
        <w:t>Indeed,</w:t>
      </w:r>
      <w:r>
        <w:rPr>
          <w:color w:val="231F20"/>
          <w:spacing w:val="-27"/>
          <w:w w:val="110"/>
        </w:rPr>
        <w:t xml:space="preserve"> </w:t>
      </w:r>
      <w:r>
        <w:rPr>
          <w:color w:val="231F20"/>
          <w:w w:val="110"/>
        </w:rPr>
        <w:t>since</w:t>
      </w:r>
      <w:r>
        <w:rPr>
          <w:color w:val="231F20"/>
          <w:spacing w:val="-27"/>
          <w:w w:val="110"/>
        </w:rPr>
        <w:t xml:space="preserve"> </w:t>
      </w:r>
      <w:r>
        <w:rPr>
          <w:color w:val="231F20"/>
          <w:w w:val="110"/>
        </w:rPr>
        <w:t>CPIs</w:t>
      </w:r>
      <w:r>
        <w:rPr>
          <w:color w:val="231F20"/>
          <w:spacing w:val="-27"/>
          <w:w w:val="110"/>
        </w:rPr>
        <w:t xml:space="preserve"> </w:t>
      </w:r>
      <w:r>
        <w:rPr>
          <w:color w:val="231F20"/>
          <w:w w:val="110"/>
        </w:rPr>
        <w:t>are</w:t>
      </w:r>
      <w:r>
        <w:rPr>
          <w:color w:val="231F20"/>
          <w:spacing w:val="-27"/>
          <w:w w:val="110"/>
        </w:rPr>
        <w:t xml:space="preserve"> </w:t>
      </w:r>
      <w:r>
        <w:rPr>
          <w:color w:val="231F20"/>
          <w:w w:val="110"/>
        </w:rPr>
        <w:t>intended</w:t>
      </w:r>
      <w:r>
        <w:rPr>
          <w:color w:val="231F20"/>
          <w:spacing w:val="-27"/>
          <w:w w:val="110"/>
        </w:rPr>
        <w:t xml:space="preserve"> </w:t>
      </w:r>
      <w:r>
        <w:rPr>
          <w:color w:val="231F20"/>
          <w:w w:val="110"/>
        </w:rPr>
        <w:t>to</w:t>
      </w:r>
      <w:r>
        <w:rPr>
          <w:color w:val="231F20"/>
          <w:spacing w:val="-27"/>
          <w:w w:val="110"/>
        </w:rPr>
        <w:t xml:space="preserve"> </w:t>
      </w:r>
      <w:r>
        <w:rPr>
          <w:color w:val="231F20"/>
          <w:w w:val="110"/>
        </w:rPr>
        <w:t>be easier</w:t>
      </w:r>
      <w:r>
        <w:rPr>
          <w:color w:val="231F20"/>
          <w:spacing w:val="-23"/>
          <w:w w:val="110"/>
        </w:rPr>
        <w:t xml:space="preserve"> </w:t>
      </w:r>
      <w:r>
        <w:rPr>
          <w:color w:val="231F20"/>
          <w:w w:val="110"/>
        </w:rPr>
        <w:t>to</w:t>
      </w:r>
      <w:r>
        <w:rPr>
          <w:color w:val="231F20"/>
          <w:spacing w:val="-23"/>
          <w:w w:val="110"/>
        </w:rPr>
        <w:t xml:space="preserve"> </w:t>
      </w:r>
      <w:r>
        <w:rPr>
          <w:color w:val="231F20"/>
          <w:w w:val="110"/>
        </w:rPr>
        <w:t>obtain</w:t>
      </w:r>
      <w:r>
        <w:rPr>
          <w:color w:val="231F20"/>
          <w:spacing w:val="-23"/>
          <w:w w:val="110"/>
        </w:rPr>
        <w:t xml:space="preserve"> </w:t>
      </w:r>
      <w:r>
        <w:rPr>
          <w:color w:val="231F20"/>
          <w:w w:val="110"/>
        </w:rPr>
        <w:t>than</w:t>
      </w:r>
      <w:r>
        <w:rPr>
          <w:color w:val="231F20"/>
          <w:spacing w:val="-28"/>
          <w:w w:val="110"/>
        </w:rPr>
        <w:t xml:space="preserve"> </w:t>
      </w:r>
      <w:r>
        <w:rPr>
          <w:color w:val="231F20"/>
          <w:w w:val="110"/>
        </w:rPr>
        <w:t>ASBOs</w:t>
      </w:r>
      <w:r>
        <w:rPr>
          <w:color w:val="231F20"/>
          <w:spacing w:val="-23"/>
          <w:w w:val="110"/>
        </w:rPr>
        <w:t xml:space="preserve"> </w:t>
      </w:r>
      <w:r>
        <w:rPr>
          <w:color w:val="231F20"/>
          <w:w w:val="110"/>
        </w:rPr>
        <w:t>and</w:t>
      </w:r>
      <w:r>
        <w:rPr>
          <w:color w:val="231F20"/>
          <w:spacing w:val="-23"/>
          <w:w w:val="110"/>
        </w:rPr>
        <w:t xml:space="preserve"> </w:t>
      </w:r>
      <w:r>
        <w:rPr>
          <w:color w:val="231F20"/>
          <w:w w:val="110"/>
        </w:rPr>
        <w:t xml:space="preserve">can impose a wider range of obligations on an individual, implementing the </w:t>
      </w:r>
      <w:r>
        <w:rPr>
          <w:color w:val="231F20"/>
          <w:spacing w:val="-3"/>
          <w:w w:val="110"/>
        </w:rPr>
        <w:t xml:space="preserve">consultation’s </w:t>
      </w:r>
      <w:r>
        <w:rPr>
          <w:color w:val="231F20"/>
          <w:w w:val="110"/>
        </w:rPr>
        <w:t>proposals</w:t>
      </w:r>
      <w:r>
        <w:rPr>
          <w:color w:val="231F20"/>
          <w:spacing w:val="-22"/>
          <w:w w:val="110"/>
        </w:rPr>
        <w:t xml:space="preserve"> </w:t>
      </w:r>
      <w:r>
        <w:rPr>
          <w:color w:val="231F20"/>
          <w:w w:val="110"/>
        </w:rPr>
        <w:t>might</w:t>
      </w:r>
    </w:p>
    <w:p w14:paraId="38606EAA" w14:textId="77777777" w:rsidR="00E047A2" w:rsidRDefault="00000000">
      <w:pPr>
        <w:pStyle w:val="BodyText"/>
        <w:spacing w:line="208" w:lineRule="exact"/>
      </w:pPr>
      <w:r>
        <w:br w:type="column"/>
      </w:r>
      <w:r>
        <w:rPr>
          <w:color w:val="231F20"/>
          <w:w w:val="110"/>
        </w:rPr>
        <w:t xml:space="preserve">a county court anti-social </w:t>
      </w:r>
      <w:proofErr w:type="spellStart"/>
      <w:r>
        <w:rPr>
          <w:color w:val="231F20"/>
          <w:w w:val="110"/>
        </w:rPr>
        <w:t>behaviour</w:t>
      </w:r>
      <w:proofErr w:type="spellEnd"/>
    </w:p>
    <w:p w14:paraId="66823ECE" w14:textId="77777777" w:rsidR="00E047A2" w:rsidRDefault="00000000">
      <w:pPr>
        <w:pStyle w:val="BodyText"/>
        <w:spacing w:before="8" w:line="244" w:lineRule="auto"/>
        <w:ind w:right="1066"/>
      </w:pPr>
      <w:r>
        <w:rPr>
          <w:color w:val="231F20"/>
          <w:w w:val="105"/>
        </w:rPr>
        <w:t xml:space="preserve">injunction under the </w:t>
      </w:r>
      <w:r>
        <w:rPr>
          <w:rFonts w:ascii="Book Antiqua" w:hAnsi="Book Antiqua"/>
          <w:i/>
          <w:color w:val="231F20"/>
          <w:w w:val="105"/>
        </w:rPr>
        <w:t>Housing Act 1996</w:t>
      </w:r>
      <w:r>
        <w:rPr>
          <w:color w:val="231F20"/>
          <w:w w:val="105"/>
        </w:rPr>
        <w:t xml:space="preserve">. </w:t>
      </w:r>
      <w:r>
        <w:rPr>
          <w:color w:val="231F20"/>
          <w:spacing w:val="-3"/>
          <w:w w:val="105"/>
        </w:rPr>
        <w:t xml:space="preserve">The </w:t>
      </w:r>
      <w:r>
        <w:rPr>
          <w:color w:val="231F20"/>
          <w:w w:val="105"/>
        </w:rPr>
        <w:t>appellant was prohibited from ‘acting in a manner capable   of causing nuisance or annoyance towards anyone living or visiting’ a certain</w:t>
      </w:r>
      <w:r>
        <w:rPr>
          <w:color w:val="231F20"/>
          <w:spacing w:val="-4"/>
          <w:w w:val="105"/>
        </w:rPr>
        <w:t xml:space="preserve"> </w:t>
      </w:r>
      <w:r>
        <w:rPr>
          <w:color w:val="231F20"/>
          <w:w w:val="105"/>
        </w:rPr>
        <w:t>street.</w:t>
      </w:r>
    </w:p>
    <w:p w14:paraId="2DB056E1" w14:textId="77777777" w:rsidR="00E047A2" w:rsidRDefault="00000000">
      <w:pPr>
        <w:pStyle w:val="Heading2"/>
        <w:spacing w:before="198" w:line="288" w:lineRule="exact"/>
      </w:pPr>
      <w:r>
        <w:rPr>
          <w:color w:val="231F20"/>
          <w:w w:val="105"/>
        </w:rPr>
        <w:t>Standard of proof</w:t>
      </w:r>
    </w:p>
    <w:p w14:paraId="6101BABF" w14:textId="77777777" w:rsidR="00E047A2" w:rsidRDefault="00000000">
      <w:pPr>
        <w:pStyle w:val="BodyText"/>
        <w:spacing w:line="247" w:lineRule="auto"/>
        <w:ind w:right="916"/>
      </w:pPr>
      <w:r>
        <w:rPr>
          <w:color w:val="231F20"/>
          <w:w w:val="105"/>
        </w:rPr>
        <w:t xml:space="preserve">More likely to affect the system is the change to the proposed </w:t>
      </w:r>
      <w:r>
        <w:rPr>
          <w:color w:val="231F20"/>
          <w:spacing w:val="-3"/>
          <w:w w:val="105"/>
        </w:rPr>
        <w:t>standard</w:t>
      </w:r>
    </w:p>
    <w:p w14:paraId="1A661665" w14:textId="77777777" w:rsidR="00E047A2" w:rsidRDefault="00E047A2">
      <w:pPr>
        <w:spacing w:line="247" w:lineRule="auto"/>
        <w:sectPr w:rsidR="00E047A2">
          <w:type w:val="continuous"/>
          <w:pgSz w:w="11910" w:h="16840"/>
          <w:pgMar w:top="0" w:right="0" w:bottom="280" w:left="740" w:header="720" w:footer="720" w:gutter="0"/>
          <w:cols w:num="3" w:space="720" w:equalWidth="0">
            <w:col w:w="3363" w:space="133"/>
            <w:col w:w="3363" w:space="133"/>
            <w:col w:w="4178"/>
          </w:cols>
        </w:sectPr>
      </w:pPr>
    </w:p>
    <w:p w14:paraId="5975CE79" w14:textId="77777777" w:rsidR="00E047A2" w:rsidRDefault="00000000">
      <w:pPr>
        <w:pStyle w:val="BodyText"/>
        <w:ind w:left="0"/>
      </w:pPr>
      <w:r>
        <w:pict w14:anchorId="0C283065">
          <v:group id="_x0000_s1048" style="position:absolute;margin-left:0;margin-top:0;width:28.4pt;height:505.15pt;z-index:251664384;mso-position-horizontal-relative:page;mso-position-vertical-relative:page" coordsize="568,10103">
            <v:rect id="_x0000_s1050" style="position:absolute;width:284;height:10103" fillcolor="#d1d3d4" stroked="f"/>
            <v:rect id="_x0000_s1049" style="position:absolute;left:283;width:284;height:10103" fillcolor="#6d6e71" stroked="f"/>
            <w10:wrap anchorx="page" anchory="page"/>
          </v:group>
        </w:pict>
      </w:r>
      <w:r>
        <w:pict w14:anchorId="7CD54D22">
          <v:shape id="_x0000_s1047" type="#_x0000_t202" style="position:absolute;margin-left:12.85pt;margin-top:41.5pt;width:16.7pt;height:421.95pt;z-index:251665408;mso-position-horizontal-relative:page;mso-position-vertical-relative:page" filled="f" stroked="f">
            <v:textbox style="layout-flow:vertical;mso-layout-flow-alt:bottom-to-top" inset="0,0,0,0">
              <w:txbxContent>
                <w:p w14:paraId="6301AC73" w14:textId="77777777" w:rsidR="00E047A2" w:rsidRDefault="00000000">
                  <w:pPr>
                    <w:spacing w:before="28"/>
                    <w:ind w:left="20"/>
                    <w:rPr>
                      <w:rFonts w:ascii="Calibri"/>
                      <w:b/>
                      <w:sz w:val="24"/>
                    </w:rPr>
                  </w:pPr>
                  <w:r>
                    <w:rPr>
                      <w:rFonts w:ascii="Calibri"/>
                      <w:b/>
                      <w:color w:val="FFFFFF"/>
                      <w:w w:val="105"/>
                      <w:sz w:val="24"/>
                    </w:rPr>
                    <w:t xml:space="preserve">T H E M E D S E C T I O </w:t>
                  </w:r>
                  <w:proofErr w:type="gramStart"/>
                  <w:r>
                    <w:rPr>
                      <w:rFonts w:ascii="Calibri"/>
                      <w:b/>
                      <w:color w:val="FFFFFF"/>
                      <w:w w:val="105"/>
                      <w:sz w:val="24"/>
                    </w:rPr>
                    <w:t>N :</w:t>
                  </w:r>
                  <w:proofErr w:type="gramEnd"/>
                  <w:r>
                    <w:rPr>
                      <w:rFonts w:ascii="Calibri"/>
                      <w:b/>
                      <w:color w:val="FFFFFF"/>
                      <w:w w:val="105"/>
                      <w:sz w:val="24"/>
                    </w:rPr>
                    <w:t xml:space="preserve"> C R I M I N A L </w:t>
                  </w:r>
                  <w:r>
                    <w:rPr>
                      <w:rFonts w:ascii="Calibri"/>
                      <w:b/>
                      <w:color w:val="FFFFFF"/>
                      <w:w w:val="130"/>
                      <w:sz w:val="24"/>
                    </w:rPr>
                    <w:t xml:space="preserve">j </w:t>
                  </w:r>
                  <w:r>
                    <w:rPr>
                      <w:rFonts w:ascii="Calibri"/>
                      <w:b/>
                      <w:color w:val="FFFFFF"/>
                      <w:w w:val="105"/>
                      <w:sz w:val="24"/>
                    </w:rPr>
                    <w:t>U S T I C E A N D T H E C O A L I T I O N</w:t>
                  </w:r>
                </w:p>
              </w:txbxContent>
            </v:textbox>
            <w10:wrap anchorx="page" anchory="page"/>
          </v:shape>
        </w:pict>
      </w:r>
    </w:p>
    <w:p w14:paraId="177ED120" w14:textId="77777777" w:rsidR="00E047A2" w:rsidRDefault="00E047A2">
      <w:pPr>
        <w:pStyle w:val="BodyText"/>
        <w:spacing w:before="4"/>
        <w:ind w:left="0"/>
        <w:rPr>
          <w:sz w:val="15"/>
        </w:rPr>
      </w:pPr>
    </w:p>
    <w:p w14:paraId="772971F1" w14:textId="77777777" w:rsidR="00E047A2" w:rsidRDefault="00000000">
      <w:pPr>
        <w:pStyle w:val="BodyText"/>
        <w:spacing w:line="20" w:lineRule="exact"/>
        <w:ind w:left="105"/>
        <w:rPr>
          <w:sz w:val="2"/>
        </w:rPr>
      </w:pPr>
      <w:r>
        <w:rPr>
          <w:sz w:val="2"/>
        </w:rPr>
      </w:r>
      <w:r>
        <w:rPr>
          <w:sz w:val="2"/>
        </w:rPr>
        <w:pict w14:anchorId="0EBFDB8C">
          <v:group id="_x0000_s1045" style="width:509.5pt;height:.5pt;mso-position-horizontal-relative:char;mso-position-vertical-relative:line" coordsize="10190,10">
            <v:line id="_x0000_s1046" style="position:absolute" from="0,5" to="10189,5" strokecolor="#231f20" strokeweight=".5pt"/>
            <w10:anchorlock/>
          </v:group>
        </w:pict>
      </w:r>
    </w:p>
    <w:p w14:paraId="0C052909" w14:textId="77777777" w:rsidR="00E047A2" w:rsidRDefault="00000000">
      <w:pPr>
        <w:tabs>
          <w:tab w:val="left" w:pos="563"/>
        </w:tabs>
        <w:spacing w:before="78" w:line="213" w:lineRule="auto"/>
        <w:ind w:left="564" w:right="7726" w:hanging="454"/>
        <w:rPr>
          <w:rFonts w:ascii="Calibri" w:hAnsi="Calibri"/>
          <w:sz w:val="14"/>
        </w:rPr>
      </w:pPr>
      <w:r>
        <w:lastRenderedPageBreak/>
        <w:pict w14:anchorId="7156352A">
          <v:shape id="_x0000_s1044" style="position:absolute;left:0;text-align:left;margin-left:462.1pt;margin-top:15.25pt;width:52.45pt;height:6.6pt;z-index:251659264;mso-position-horizontal-relative:page" coordorigin="9242,305" coordsize="1049,132" o:spt="100" adj="0,,0" path="m9338,403r-10,-25l9321,360r-11,-28l9300,309r,51l9279,360r11,-28l9300,360r,-51l9299,305r-18,l9242,403r21,l9273,378r34,l9308,381r9,22l9338,403t115,-96l9434,307r,62l9411,340r-26,-33l9366,307r,96l9385,403r,-63l9436,404r17,l9453,369r,-62m9589,343r-6,-14l9580,325r-5,-4l9568,315r-1,-1l9567,346r,18l9563,374r-6,5l9551,383r-5,2l9520,385r,-60l9546,325r6,2l9563,336r4,10l9567,314r-8,-3l9548,308r-12,-1l9500,307r,96l9536,403r12,-1l9559,400r9,-5l9575,390r4,-5l9583,380r6,-13l9589,343t107,-36l9675,307r,92l9674,405r-4,5l9668,414r-2,2l9658,425r15,12l9681,428r2,-3l9687,421r3,-5l9692,412r4,-9l9696,307t127,l9802,307r,73l9795,387r-28,l9760,380r,-73l9739,307r,75l9743,392r11,6l9761,403r11,2l9790,405r10,-2l9808,398r10,-6l9820,387r3,-5l9823,307t104,8l9919,311r-3,-2l9911,308r-5,-1l9900,306r-6,l9879,308r-11,5l9861,322r-3,11l9858,344r7,9l9896,367r7,4l9904,374r,12l9895,387r-9,l9882,386r-8,-4l9872,381r-8,-6l9854,393r9,6l9866,400r4,1l9875,403r7,1l9889,404r15,-1l9915,397r7,-9l9923,387r2,-11l9925,364r-6,-8l9884,339r-3,-1l9879,334r,-1l9879,325r11,-1l9898,324r4,1l9905,326r4,1l9911,328r8,5l9923,324r4,-9m10027,307r-84,l9943,325r32,l9975,403r20,l9995,325r32,l10027,307t48,l10055,307r,96l10075,403r,-96m10198,316r-13,-8l10176,306r-12,l10143,309r-17,11l10115,335r-4,20l10115,375r11,16l10143,401r22,4l10174,405r9,-2l10196,397r-4,-10l10189,381r-10,5l10176,387r-20,l10148,384r-6,-6l10136,372r-3,-9l10133,354r2,-12l10141,332r10,-6l10163,324r5,l10173,325r4,1l10180,327r1,1l10188,333r5,-9l10198,316t92,69l10248,385r,-22l10282,363r,-18l10248,345r,-20l10289,325r,-18l10228,307r,96l10290,403r,-18e" fillcolor="#231f20" stroked="f">
            <v:stroke joinstyle="round"/>
            <v:formulas/>
            <v:path arrowok="t" o:connecttype="segments"/>
            <w10:wrap anchorx="page"/>
          </v:shape>
        </w:pict>
      </w:r>
      <w:r>
        <w:pict w14:anchorId="13428C03">
          <v:shape id="_x0000_s1043" style="position:absolute;left:0;text-align:left;margin-left:518.5pt;margin-top:15.3pt;width:33.7pt;height:5pt;z-index:251660288;mso-position-horizontal-relative:page" coordorigin="10370,306" coordsize="674,100" o:spt="100" adj="0,,0" path="m10442,315r-8,-4l10432,309r-5,-1l10422,307r-6,-1l10410,306r-15,2l10384,313r-7,9l10374,333r,11l10381,353r31,14l10419,371r1,3l10420,386r-9,1l10402,387r-4,-1l10390,382r-2,-1l10379,375r-9,18l10373,395r6,4l10382,400r4,1l10391,403r7,1l10405,404r15,-1l10431,397r7,-9l10439,387r2,-11l10441,364r-6,-8l10400,339r-3,-1l10395,334r,-1l10395,325r11,-1l10414,324r3,1l10421,326r4,1l10427,328r8,5l10439,324r3,-9m10543,307r-84,l10459,325r32,l10491,403r20,l10511,325r32,l10543,307t108,l10631,307r,73l10624,387r-29,l10588,380r,-73l10568,307r,75l10572,392r18,11l10600,405r18,l10629,403r18,-11l10649,387r2,-5l10651,307t133,36l10778,329r-3,-4l10770,321r-7,-6l10762,314r,32l10762,364r-4,10l10752,379r-6,4l10740,385r-25,l10715,325r26,l10746,327r12,9l10762,346r,-32l10754,311r-11,-3l10731,307r-36,l10695,403r36,l10743,402r11,-2l10763,395r7,-5l10774,385r4,-5l10784,367r,-24m10838,307r-20,l10818,403r20,l10838,307t109,78l10905,385r,-22l10939,363r,-18l10905,345r,-20l10946,325r,-18l10885,307r,96l10947,403r,-18m11044,315r-8,-4l11033,309r-5,-1l11023,307r-6,-1l11011,306r-15,2l10985,313r-7,9l10975,333r,11l10982,353r31,14l11020,371r1,3l11021,386r-9,1l11004,387r-5,-1l10995,384r-4,-2l10989,381r-8,-6l10971,393r9,6l10983,400r4,1l10992,403r7,1l11006,404r15,-1l11032,397r8,-9l11040,387r2,-11l11042,364r-6,-8l11001,339r-3,-1l10996,335r,-1l10996,333r,-8l11007,324r8,l11019,325r3,1l11027,327r1,1l11036,333r4,-9l11044,315e" fillcolor="#231f20" stroked="f">
            <v:stroke joinstyle="round"/>
            <v:formulas/>
            <v:path arrowok="t" o:connecttype="segments"/>
            <w10:wrap anchorx="page"/>
          </v:shape>
        </w:pict>
      </w:r>
      <w:r>
        <w:pict w14:anchorId="7B021D63">
          <v:shape id="_x0000_s1042" style="position:absolute;left:0;text-align:left;margin-left:462.15pt;margin-top:4.65pt;width:34.55pt;height:5.6pt;z-index:251661312;mso-position-horizontal-relative:page" coordorigin="9243,93" coordsize="691,112" o:spt="100" adj="0,,0" path="m9340,105r-14,-9l9316,93r-14,l9279,97r-19,12l9247,126r-4,22l9247,171r13,18l9279,201r25,4l9314,205r10,-2l9338,197r-4,-11l9331,180r-11,5l9316,186r-23,l9284,183r-8,-7l9269,169r-4,-10l9265,148r3,-15l9275,122r12,-8l9302,112r5,l9313,113r5,1l9321,115r2,1l9327,120r3,2l9336,112r4,-7m9445,184r-49,l9396,157r39,l9435,138r-39,l9396,113r48,l9444,95r-69,l9375,203r70,l9445,184m9585,95r-20,l9565,169r-33,-41l9506,95r-20,l9486,203r20,l9506,128r1,l9507,128r59,76l9585,204r,-35l9585,95t127,l9617,95r,18l9654,113r,90l9675,203r,-90l9712,113r,-18m9828,203r-27,-42l9799,158r14,-4l9822,142r,l9822,127r-3,-14l9819,113r-8,-10l9799,97r,25l9799,132r-1,4l9794,139r-3,3l9789,142r-24,l9765,113r26,l9794,116r3,2l9799,122r,-25l9798,97r-17,-2l9744,95r,108l9765,203r,-42l9776,161r27,42l9828,203t105,-19l9884,184r,-27l9923,157r,-19l9884,138r,-25l9932,113r,-18l9863,95r,108l9933,203r,-19e" fillcolor="#231f20" stroked="f">
            <v:stroke joinstyle="round"/>
            <v:formulas/>
            <v:path arrowok="t" o:connecttype="segments"/>
            <w10:wrap anchorx="page"/>
          </v:shape>
        </w:pict>
      </w:r>
      <w:r>
        <w:pict w14:anchorId="1B2E580D">
          <v:group id="_x0000_s1039" style="position:absolute;left:0;text-align:left;margin-left:501.8pt;margin-top:4.65pt;width:17.05pt;height:5.6pt;z-index:251662336;mso-position-horizontal-relative:page" coordorigin="10036,93" coordsize="341,1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left:10036;top:92;width:215;height:112">
              <v:imagedata r:id="rId4" o:title=""/>
            </v:shape>
            <v:shape id="_x0000_s1040" style="position:absolute;left:10292;top:94;width:85;height:108" coordorigin="10292,95" coordsize="85,108" o:spt="100" adj="0,,0" path="m10329,95r-37,l10292,203r22,l10314,161r35,l10347,158r14,-4l10370,142r,l10314,142r,-29l10368,113r,l10360,103r-13,-6l10329,95xm10349,161r-24,l10352,203r25,l10349,161xm10368,113r-29,l10342,116r4,2l10348,122r,10l10346,136r-3,3l10339,142r-1,l10370,142r,-15l10368,113xe" fillcolor="#231f20" stroked="f">
              <v:stroke joinstyle="round"/>
              <v:formulas/>
              <v:path arrowok="t" o:connecttype="segments"/>
            </v:shape>
            <w10:wrap anchorx="page"/>
          </v:group>
        </w:pict>
      </w:r>
      <w:r>
        <w:pict w14:anchorId="5BF4B294">
          <v:group id="_x0000_s1035" style="position:absolute;left:0;text-align:left;margin-left:523.35pt;margin-top:4.65pt;width:28.8pt;height:5.6pt;z-index:251663360;mso-position-horizontal-relative:page" coordorigin="10467,93" coordsize="576,112">
            <v:shape id="_x0000_s1038" style="position:absolute;left:10466;top:92;width:279;height:112" coordorigin="10467,93" coordsize="279,112" o:spt="100" adj="0,,0" path="m10564,105r-13,-9l10540,93r-13,l10503,97r-19,12l10472,126r-5,22l10471,171r13,18l10503,201r25,4l10538,205r10,-2l10562,197r-4,-11l10555,180r-10,5l10541,186r-24,l10508,183r-7,-7l10493,169r-4,-10l10489,148r3,-15l10500,122r11,-8l10526,112r6,l10537,113r5,1l10545,115r2,2l10554,122r6,-10l10564,105t120,98l10656,161r-2,-3l10668,154r9,-12l10677,142r,-15l10675,113r-1,l10667,103r-13,-6l10654,122r,10l10653,136r-3,3l10646,142r-1,l10621,142r,-29l10646,113r7,5l10654,122r,-25l10654,97r-18,-2l10599,95r,108l10621,203r,-42l10632,161r27,42l10684,203t62,-108l10725,95r,108l10746,203r,-108e" fillcolor="#231f20" stroked="f">
              <v:stroke joinstyle="round"/>
              <v:formulas/>
              <v:path arrowok="t" o:connecttype="segments"/>
            </v:shape>
            <v:shape id="_x0000_s1037" type="#_x0000_t75" style="position:absolute;left:10799;top:94;width:119;height:108">
              <v:imagedata r:id="rId5" o:title=""/>
            </v:shape>
            <v:shape id="_x0000_s1036" style="position:absolute;left:10972;top:94;width:71;height:108" coordorigin="10973,95" coordsize="71,108" path="m11041,95r-68,l10973,203r70,l11043,184r-49,l10994,157r39,l11033,138r-39,l10994,113r47,l11041,95xe" fillcolor="#231f20" stroked="f">
              <v:path arrowok="t"/>
            </v:shape>
            <w10:wrap anchorx="page"/>
          </v:group>
        </w:pict>
      </w:r>
      <w:r>
        <w:rPr>
          <w:rFonts w:ascii="Cambria" w:hAnsi="Cambria"/>
          <w:b/>
          <w:color w:val="231F20"/>
          <w:w w:val="120"/>
          <w:position w:val="-2"/>
          <w:sz w:val="18"/>
        </w:rPr>
        <w:t>26</w:t>
      </w:r>
      <w:r>
        <w:rPr>
          <w:rFonts w:ascii="Cambria" w:hAnsi="Cambria"/>
          <w:b/>
          <w:color w:val="231F20"/>
          <w:w w:val="120"/>
          <w:position w:val="-2"/>
          <w:sz w:val="18"/>
        </w:rPr>
        <w:tab/>
      </w:r>
      <w:r>
        <w:rPr>
          <w:rFonts w:ascii="Calibri" w:hAnsi="Calibri"/>
          <w:color w:val="231F20"/>
          <w:w w:val="120"/>
          <w:sz w:val="14"/>
        </w:rPr>
        <w:t>©2011</w:t>
      </w:r>
      <w:r>
        <w:rPr>
          <w:rFonts w:ascii="Calibri" w:hAnsi="Calibri"/>
          <w:color w:val="231F20"/>
          <w:spacing w:val="-19"/>
          <w:w w:val="120"/>
          <w:sz w:val="14"/>
        </w:rPr>
        <w:t xml:space="preserve"> </w:t>
      </w:r>
      <w:r>
        <w:rPr>
          <w:rFonts w:ascii="Calibri" w:hAnsi="Calibri"/>
          <w:color w:val="231F20"/>
          <w:w w:val="120"/>
          <w:sz w:val="14"/>
        </w:rPr>
        <w:t>Centre</w:t>
      </w:r>
      <w:r>
        <w:rPr>
          <w:rFonts w:ascii="Calibri" w:hAnsi="Calibri"/>
          <w:color w:val="231F20"/>
          <w:spacing w:val="-19"/>
          <w:w w:val="120"/>
          <w:sz w:val="14"/>
        </w:rPr>
        <w:t xml:space="preserve"> </w:t>
      </w:r>
      <w:r>
        <w:rPr>
          <w:rFonts w:ascii="Calibri" w:hAnsi="Calibri"/>
          <w:color w:val="231F20"/>
          <w:w w:val="120"/>
          <w:sz w:val="14"/>
        </w:rPr>
        <w:t>for</w:t>
      </w:r>
      <w:r>
        <w:rPr>
          <w:rFonts w:ascii="Calibri" w:hAnsi="Calibri"/>
          <w:color w:val="231F20"/>
          <w:spacing w:val="-19"/>
          <w:w w:val="120"/>
          <w:sz w:val="14"/>
        </w:rPr>
        <w:t xml:space="preserve"> </w:t>
      </w:r>
      <w:r>
        <w:rPr>
          <w:rFonts w:ascii="Calibri" w:hAnsi="Calibri"/>
          <w:color w:val="231F20"/>
          <w:w w:val="120"/>
          <w:sz w:val="14"/>
        </w:rPr>
        <w:t>Crime</w:t>
      </w:r>
      <w:r>
        <w:rPr>
          <w:rFonts w:ascii="Calibri" w:hAnsi="Calibri"/>
          <w:color w:val="231F20"/>
          <w:spacing w:val="-19"/>
          <w:w w:val="120"/>
          <w:sz w:val="14"/>
        </w:rPr>
        <w:t xml:space="preserve"> </w:t>
      </w:r>
      <w:r>
        <w:rPr>
          <w:rFonts w:ascii="Calibri" w:hAnsi="Calibri"/>
          <w:color w:val="231F20"/>
          <w:w w:val="120"/>
          <w:sz w:val="14"/>
        </w:rPr>
        <w:t>and</w:t>
      </w:r>
      <w:r>
        <w:rPr>
          <w:rFonts w:ascii="Calibri" w:hAnsi="Calibri"/>
          <w:color w:val="231F20"/>
          <w:spacing w:val="-19"/>
          <w:w w:val="120"/>
          <w:sz w:val="14"/>
        </w:rPr>
        <w:t xml:space="preserve"> </w:t>
      </w:r>
      <w:r>
        <w:rPr>
          <w:rFonts w:ascii="Calibri" w:hAnsi="Calibri"/>
          <w:color w:val="231F20"/>
          <w:w w:val="120"/>
          <w:sz w:val="14"/>
        </w:rPr>
        <w:t>Justice</w:t>
      </w:r>
      <w:r>
        <w:rPr>
          <w:rFonts w:ascii="Calibri" w:hAnsi="Calibri"/>
          <w:color w:val="231F20"/>
          <w:spacing w:val="-19"/>
          <w:w w:val="120"/>
          <w:sz w:val="14"/>
        </w:rPr>
        <w:t xml:space="preserve"> </w:t>
      </w:r>
      <w:r>
        <w:rPr>
          <w:rFonts w:ascii="Calibri" w:hAnsi="Calibri"/>
          <w:color w:val="231F20"/>
          <w:w w:val="120"/>
          <w:sz w:val="14"/>
        </w:rPr>
        <w:t>Studies 10.1080/09627251.2011.646189</w:t>
      </w:r>
    </w:p>
    <w:p w14:paraId="3D03E2C3" w14:textId="77777777" w:rsidR="00E047A2" w:rsidRDefault="00E047A2">
      <w:pPr>
        <w:spacing w:line="213" w:lineRule="auto"/>
        <w:rPr>
          <w:rFonts w:ascii="Calibri" w:hAnsi="Calibri"/>
          <w:sz w:val="14"/>
        </w:rPr>
        <w:sectPr w:rsidR="00E047A2">
          <w:type w:val="continuous"/>
          <w:pgSz w:w="11910" w:h="16840"/>
          <w:pgMar w:top="0" w:right="0" w:bottom="280" w:left="740" w:header="720" w:footer="720" w:gutter="0"/>
          <w:cols w:space="720"/>
        </w:sectPr>
      </w:pPr>
    </w:p>
    <w:p w14:paraId="591F17EC" w14:textId="77777777" w:rsidR="00E047A2" w:rsidRDefault="00E047A2">
      <w:pPr>
        <w:pStyle w:val="BodyText"/>
        <w:ind w:left="0"/>
        <w:rPr>
          <w:rFonts w:ascii="Calibri"/>
        </w:rPr>
      </w:pPr>
    </w:p>
    <w:p w14:paraId="18E5A4B5" w14:textId="77777777" w:rsidR="00E047A2" w:rsidRDefault="00E047A2">
      <w:pPr>
        <w:pStyle w:val="BodyText"/>
        <w:ind w:left="0"/>
        <w:rPr>
          <w:rFonts w:ascii="Calibri"/>
        </w:rPr>
      </w:pPr>
    </w:p>
    <w:p w14:paraId="3CEC83C7" w14:textId="77777777" w:rsidR="00E047A2" w:rsidRDefault="00E047A2">
      <w:pPr>
        <w:pStyle w:val="BodyText"/>
        <w:spacing w:before="12"/>
        <w:ind w:left="0"/>
        <w:rPr>
          <w:rFonts w:ascii="Calibri"/>
          <w:sz w:val="17"/>
        </w:rPr>
      </w:pPr>
    </w:p>
    <w:p w14:paraId="588842D5" w14:textId="77777777" w:rsidR="00E047A2" w:rsidRDefault="00E047A2">
      <w:pPr>
        <w:rPr>
          <w:rFonts w:ascii="Calibri"/>
          <w:sz w:val="17"/>
        </w:rPr>
        <w:sectPr w:rsidR="00E047A2">
          <w:pgSz w:w="11910" w:h="16840"/>
          <w:pgMar w:top="0" w:right="0" w:bottom="0" w:left="740" w:header="720" w:footer="720" w:gutter="0"/>
          <w:cols w:space="720"/>
        </w:sectPr>
      </w:pPr>
    </w:p>
    <w:p w14:paraId="7E78C18A" w14:textId="77777777" w:rsidR="00E047A2" w:rsidRDefault="00000000">
      <w:pPr>
        <w:pStyle w:val="BodyText"/>
        <w:spacing w:before="98" w:line="247" w:lineRule="auto"/>
        <w:ind w:right="41"/>
      </w:pPr>
      <w:r>
        <w:rPr>
          <w:color w:val="231F20"/>
          <w:w w:val="105"/>
        </w:rPr>
        <w:t xml:space="preserve">of proof. Under the consultation’s proposals, the relevant past anti- social </w:t>
      </w:r>
      <w:proofErr w:type="spellStart"/>
      <w:r>
        <w:rPr>
          <w:color w:val="231F20"/>
          <w:w w:val="105"/>
        </w:rPr>
        <w:t>behaviour</w:t>
      </w:r>
      <w:proofErr w:type="spellEnd"/>
      <w:r>
        <w:rPr>
          <w:color w:val="231F20"/>
          <w:w w:val="105"/>
        </w:rPr>
        <w:t xml:space="preserve"> for a CPI – the same as that necessary for an </w:t>
      </w:r>
      <w:r>
        <w:rPr>
          <w:color w:val="231F20"/>
          <w:spacing w:val="-5"/>
          <w:w w:val="105"/>
        </w:rPr>
        <w:t xml:space="preserve">ASBO, </w:t>
      </w:r>
      <w:r>
        <w:rPr>
          <w:color w:val="231F20"/>
          <w:w w:val="105"/>
        </w:rPr>
        <w:t>and not necessarily ‘crime’ at</w:t>
      </w:r>
      <w:r>
        <w:rPr>
          <w:color w:val="231F20"/>
          <w:spacing w:val="24"/>
          <w:w w:val="105"/>
        </w:rPr>
        <w:t xml:space="preserve"> </w:t>
      </w:r>
      <w:r>
        <w:rPr>
          <w:color w:val="231F20"/>
          <w:w w:val="105"/>
        </w:rPr>
        <w:t>all</w:t>
      </w:r>
    </w:p>
    <w:p w14:paraId="79A5B501" w14:textId="77777777" w:rsidR="00E047A2" w:rsidRDefault="00000000">
      <w:pPr>
        <w:spacing w:before="5" w:line="242" w:lineRule="auto"/>
        <w:ind w:left="110" w:right="38"/>
        <w:rPr>
          <w:sz w:val="20"/>
        </w:rPr>
      </w:pPr>
      <w:r>
        <w:rPr>
          <w:color w:val="231F20"/>
          <w:w w:val="105"/>
          <w:sz w:val="20"/>
        </w:rPr>
        <w:t xml:space="preserve">– would </w:t>
      </w:r>
      <w:r>
        <w:rPr>
          <w:color w:val="231F20"/>
          <w:spacing w:val="-3"/>
          <w:w w:val="105"/>
          <w:sz w:val="20"/>
        </w:rPr>
        <w:t xml:space="preserve">have </w:t>
      </w:r>
      <w:r>
        <w:rPr>
          <w:color w:val="231F20"/>
          <w:w w:val="105"/>
          <w:sz w:val="20"/>
        </w:rPr>
        <w:t xml:space="preserve">to be proved to the civil standard, on the balance of probabilities. In </w:t>
      </w:r>
      <w:proofErr w:type="gramStart"/>
      <w:r>
        <w:rPr>
          <w:color w:val="231F20"/>
          <w:w w:val="105"/>
          <w:sz w:val="20"/>
        </w:rPr>
        <w:t>the  well</w:t>
      </w:r>
      <w:proofErr w:type="gramEnd"/>
      <w:r>
        <w:rPr>
          <w:color w:val="231F20"/>
          <w:w w:val="105"/>
          <w:sz w:val="20"/>
        </w:rPr>
        <w:t xml:space="preserve">-known case of </w:t>
      </w:r>
      <w:r>
        <w:rPr>
          <w:rFonts w:ascii="Book Antiqua" w:hAnsi="Book Antiqua"/>
          <w:i/>
          <w:color w:val="231F20"/>
          <w:w w:val="105"/>
          <w:sz w:val="20"/>
        </w:rPr>
        <w:t xml:space="preserve">McCann </w:t>
      </w:r>
      <w:r>
        <w:rPr>
          <w:color w:val="231F20"/>
          <w:w w:val="105"/>
          <w:sz w:val="20"/>
        </w:rPr>
        <w:t>(</w:t>
      </w:r>
      <w:r>
        <w:rPr>
          <w:rFonts w:ascii="Book Antiqua" w:hAnsi="Book Antiqua"/>
          <w:i/>
          <w:color w:val="231F20"/>
          <w:w w:val="105"/>
          <w:sz w:val="20"/>
        </w:rPr>
        <w:t>R v Manchester Crown Court, Ex p McCann and others</w:t>
      </w:r>
      <w:r>
        <w:rPr>
          <w:color w:val="231F20"/>
          <w:w w:val="105"/>
          <w:sz w:val="20"/>
        </w:rPr>
        <w:t xml:space="preserve">, [2002] UKHL 39), in the </w:t>
      </w:r>
      <w:r>
        <w:rPr>
          <w:color w:val="231F20"/>
          <w:spacing w:val="-5"/>
          <w:w w:val="105"/>
          <w:sz w:val="20"/>
        </w:rPr>
        <w:t xml:space="preserve">face </w:t>
      </w:r>
      <w:r>
        <w:rPr>
          <w:color w:val="231F20"/>
          <w:w w:val="105"/>
          <w:sz w:val="20"/>
        </w:rPr>
        <w:t xml:space="preserve">of statutory silence in the </w:t>
      </w:r>
      <w:r>
        <w:rPr>
          <w:rFonts w:ascii="Book Antiqua" w:hAnsi="Book Antiqua"/>
          <w:i/>
          <w:color w:val="231F20"/>
          <w:w w:val="105"/>
          <w:sz w:val="20"/>
        </w:rPr>
        <w:t xml:space="preserve">Crime and Disorder Act 1998 </w:t>
      </w:r>
      <w:r>
        <w:rPr>
          <w:color w:val="231F20"/>
          <w:w w:val="105"/>
          <w:sz w:val="20"/>
        </w:rPr>
        <w:t>on the question of the standard of proof, the House of Lords read in the</w:t>
      </w:r>
      <w:r>
        <w:rPr>
          <w:color w:val="231F20"/>
          <w:spacing w:val="-30"/>
          <w:w w:val="105"/>
          <w:sz w:val="20"/>
        </w:rPr>
        <w:t xml:space="preserve"> </w:t>
      </w:r>
      <w:r>
        <w:rPr>
          <w:color w:val="231F20"/>
          <w:w w:val="105"/>
          <w:sz w:val="20"/>
        </w:rPr>
        <w:t>requirement</w:t>
      </w:r>
    </w:p>
    <w:p w14:paraId="651DDA87" w14:textId="77777777" w:rsidR="00E047A2" w:rsidRDefault="00000000">
      <w:pPr>
        <w:spacing w:before="100"/>
        <w:ind w:left="393" w:right="189"/>
        <w:rPr>
          <w:rFonts w:ascii="Book Antiqua"/>
          <w:i/>
          <w:sz w:val="20"/>
        </w:rPr>
      </w:pPr>
      <w:r>
        <w:br w:type="column"/>
      </w:r>
      <w:r>
        <w:rPr>
          <w:rFonts w:ascii="Book Antiqua"/>
          <w:i/>
          <w:color w:val="231F20"/>
          <w:w w:val="105"/>
          <w:sz w:val="20"/>
        </w:rPr>
        <w:t>the dog in certain areas and/ or required to always keep his dog</w:t>
      </w:r>
      <w:r>
        <w:rPr>
          <w:rFonts w:ascii="Book Antiqua"/>
          <w:i/>
          <w:color w:val="231F20"/>
          <w:spacing w:val="27"/>
          <w:w w:val="105"/>
          <w:sz w:val="20"/>
        </w:rPr>
        <w:t xml:space="preserve"> </w:t>
      </w:r>
      <w:r>
        <w:rPr>
          <w:rFonts w:ascii="Book Antiqua"/>
          <w:i/>
          <w:color w:val="231F20"/>
          <w:w w:val="105"/>
          <w:sz w:val="20"/>
        </w:rPr>
        <w:t>on</w:t>
      </w:r>
      <w:r>
        <w:rPr>
          <w:rFonts w:ascii="Book Antiqua"/>
          <w:i/>
          <w:color w:val="231F20"/>
          <w:spacing w:val="27"/>
          <w:w w:val="105"/>
          <w:sz w:val="20"/>
        </w:rPr>
        <w:t xml:space="preserve"> </w:t>
      </w:r>
      <w:r>
        <w:rPr>
          <w:rFonts w:ascii="Book Antiqua"/>
          <w:i/>
          <w:color w:val="231F20"/>
          <w:w w:val="105"/>
          <w:sz w:val="20"/>
        </w:rPr>
        <w:t>a</w:t>
      </w:r>
      <w:r>
        <w:rPr>
          <w:rFonts w:ascii="Book Antiqua"/>
          <w:i/>
          <w:color w:val="231F20"/>
          <w:spacing w:val="27"/>
          <w:w w:val="105"/>
          <w:sz w:val="20"/>
        </w:rPr>
        <w:t xml:space="preserve"> </w:t>
      </w:r>
      <w:r>
        <w:rPr>
          <w:rFonts w:ascii="Book Antiqua"/>
          <w:i/>
          <w:color w:val="231F20"/>
          <w:w w:val="105"/>
          <w:sz w:val="20"/>
        </w:rPr>
        <w:t>lead</w:t>
      </w:r>
      <w:r>
        <w:rPr>
          <w:rFonts w:ascii="Book Antiqua"/>
          <w:i/>
          <w:color w:val="231F20"/>
          <w:spacing w:val="27"/>
          <w:w w:val="105"/>
          <w:sz w:val="20"/>
        </w:rPr>
        <w:t xml:space="preserve"> </w:t>
      </w:r>
      <w:r>
        <w:rPr>
          <w:rFonts w:ascii="Book Antiqua"/>
          <w:i/>
          <w:color w:val="231F20"/>
          <w:w w:val="105"/>
          <w:sz w:val="20"/>
        </w:rPr>
        <w:t>and/or</w:t>
      </w:r>
      <w:r>
        <w:rPr>
          <w:rFonts w:ascii="Book Antiqua"/>
          <w:i/>
          <w:color w:val="231F20"/>
          <w:spacing w:val="27"/>
          <w:w w:val="105"/>
          <w:sz w:val="20"/>
        </w:rPr>
        <w:t xml:space="preserve"> </w:t>
      </w:r>
      <w:r>
        <w:rPr>
          <w:rFonts w:ascii="Book Antiqua"/>
          <w:i/>
          <w:color w:val="231F20"/>
          <w:spacing w:val="-3"/>
          <w:w w:val="105"/>
          <w:sz w:val="20"/>
        </w:rPr>
        <w:t>muzzled</w:t>
      </w:r>
    </w:p>
    <w:p w14:paraId="45554DED" w14:textId="77777777" w:rsidR="00E047A2" w:rsidRDefault="00000000">
      <w:pPr>
        <w:ind w:left="393" w:right="42"/>
        <w:jc w:val="both"/>
        <w:rPr>
          <w:rFonts w:ascii="Book Antiqua"/>
          <w:i/>
          <w:sz w:val="20"/>
        </w:rPr>
      </w:pPr>
      <w:r>
        <w:rPr>
          <w:rFonts w:ascii="Book Antiqua"/>
          <w:i/>
          <w:color w:val="231F20"/>
          <w:w w:val="110"/>
          <w:sz w:val="20"/>
        </w:rPr>
        <w:t>in</w:t>
      </w:r>
      <w:r>
        <w:rPr>
          <w:rFonts w:ascii="Book Antiqua"/>
          <w:i/>
          <w:color w:val="231F20"/>
          <w:spacing w:val="-30"/>
          <w:w w:val="110"/>
          <w:sz w:val="20"/>
        </w:rPr>
        <w:t xml:space="preserve"> </w:t>
      </w:r>
      <w:r>
        <w:rPr>
          <w:rFonts w:ascii="Book Antiqua"/>
          <w:i/>
          <w:color w:val="231F20"/>
          <w:w w:val="110"/>
          <w:sz w:val="20"/>
        </w:rPr>
        <w:t>public</w:t>
      </w:r>
      <w:r>
        <w:rPr>
          <w:rFonts w:ascii="Book Antiqua"/>
          <w:i/>
          <w:color w:val="231F20"/>
          <w:spacing w:val="-29"/>
          <w:w w:val="110"/>
          <w:sz w:val="20"/>
        </w:rPr>
        <w:t xml:space="preserve"> </w:t>
      </w:r>
      <w:r>
        <w:rPr>
          <w:rFonts w:ascii="Book Antiqua"/>
          <w:i/>
          <w:color w:val="231F20"/>
          <w:w w:val="110"/>
          <w:sz w:val="20"/>
        </w:rPr>
        <w:t>including</w:t>
      </w:r>
      <w:r>
        <w:rPr>
          <w:rFonts w:ascii="Book Antiqua"/>
          <w:i/>
          <w:color w:val="231F20"/>
          <w:spacing w:val="-29"/>
          <w:w w:val="110"/>
          <w:sz w:val="20"/>
        </w:rPr>
        <w:t xml:space="preserve"> </w:t>
      </w:r>
      <w:r>
        <w:rPr>
          <w:rFonts w:ascii="Book Antiqua"/>
          <w:i/>
          <w:color w:val="231F20"/>
          <w:w w:val="110"/>
          <w:sz w:val="20"/>
        </w:rPr>
        <w:t>in</w:t>
      </w:r>
      <w:r>
        <w:rPr>
          <w:rFonts w:ascii="Book Antiqua"/>
          <w:i/>
          <w:color w:val="231F20"/>
          <w:spacing w:val="-29"/>
          <w:w w:val="110"/>
          <w:sz w:val="20"/>
        </w:rPr>
        <w:t xml:space="preserve"> </w:t>
      </w:r>
      <w:r>
        <w:rPr>
          <w:rFonts w:ascii="Book Antiqua"/>
          <w:i/>
          <w:color w:val="231F20"/>
          <w:w w:val="110"/>
          <w:sz w:val="20"/>
        </w:rPr>
        <w:t>his</w:t>
      </w:r>
      <w:r>
        <w:rPr>
          <w:rFonts w:ascii="Book Antiqua"/>
          <w:i/>
          <w:color w:val="231F20"/>
          <w:spacing w:val="-29"/>
          <w:w w:val="110"/>
          <w:sz w:val="20"/>
        </w:rPr>
        <w:t xml:space="preserve"> </w:t>
      </w:r>
      <w:r>
        <w:rPr>
          <w:rFonts w:ascii="Book Antiqua"/>
          <w:i/>
          <w:color w:val="231F20"/>
          <w:spacing w:val="-3"/>
          <w:w w:val="110"/>
          <w:sz w:val="20"/>
        </w:rPr>
        <w:t xml:space="preserve">garden </w:t>
      </w:r>
      <w:r>
        <w:rPr>
          <w:rFonts w:ascii="Book Antiqua"/>
          <w:i/>
          <w:color w:val="231F20"/>
          <w:w w:val="110"/>
          <w:sz w:val="20"/>
        </w:rPr>
        <w:t>or in places of common access. (Home Office,</w:t>
      </w:r>
      <w:r>
        <w:rPr>
          <w:rFonts w:ascii="Book Antiqua"/>
          <w:i/>
          <w:color w:val="231F20"/>
          <w:spacing w:val="-8"/>
          <w:w w:val="110"/>
          <w:sz w:val="20"/>
        </w:rPr>
        <w:t xml:space="preserve"> </w:t>
      </w:r>
      <w:r>
        <w:rPr>
          <w:rFonts w:ascii="Book Antiqua"/>
          <w:i/>
          <w:color w:val="231F20"/>
          <w:w w:val="110"/>
          <w:sz w:val="20"/>
        </w:rPr>
        <w:t>2011)</w:t>
      </w:r>
    </w:p>
    <w:p w14:paraId="749B519D" w14:textId="77777777" w:rsidR="00E047A2" w:rsidRDefault="00E047A2">
      <w:pPr>
        <w:pStyle w:val="BodyText"/>
        <w:spacing w:before="3"/>
        <w:ind w:left="0"/>
        <w:rPr>
          <w:rFonts w:ascii="Book Antiqua"/>
          <w:i/>
          <w:sz w:val="19"/>
        </w:rPr>
      </w:pPr>
    </w:p>
    <w:p w14:paraId="0596F00C" w14:textId="77777777" w:rsidR="00E047A2" w:rsidRDefault="00000000">
      <w:pPr>
        <w:pStyle w:val="BodyText"/>
        <w:spacing w:line="247" w:lineRule="auto"/>
      </w:pPr>
      <w:r>
        <w:rPr>
          <w:color w:val="231F20"/>
          <w:w w:val="105"/>
        </w:rPr>
        <w:t xml:space="preserve">Two sorts of positive requirements are envisaged here: attendance </w:t>
      </w:r>
      <w:proofErr w:type="gramStart"/>
      <w:r>
        <w:rPr>
          <w:color w:val="231F20"/>
          <w:w w:val="105"/>
        </w:rPr>
        <w:t>at</w:t>
      </w:r>
      <w:proofErr w:type="gramEnd"/>
      <w:r>
        <w:rPr>
          <w:color w:val="231F20"/>
          <w:w w:val="105"/>
        </w:rPr>
        <w:t xml:space="preserve"> </w:t>
      </w:r>
      <w:proofErr w:type="spellStart"/>
      <w:r>
        <w:rPr>
          <w:color w:val="231F20"/>
          <w:w w:val="105"/>
        </w:rPr>
        <w:t>programmes</w:t>
      </w:r>
      <w:proofErr w:type="spellEnd"/>
      <w:r>
        <w:rPr>
          <w:color w:val="231F20"/>
          <w:w w:val="105"/>
        </w:rPr>
        <w:t xml:space="preserve"> and other obligations requiring provision by a public authority of services, and others imposing obligations only upon the defendant. However, it is unclear how much the</w:t>
      </w:r>
    </w:p>
    <w:p w14:paraId="0A83A127" w14:textId="77777777" w:rsidR="00E047A2" w:rsidRDefault="00000000">
      <w:pPr>
        <w:pStyle w:val="BodyText"/>
        <w:spacing w:before="98" w:line="247" w:lineRule="auto"/>
        <w:ind w:right="919"/>
      </w:pPr>
      <w:r>
        <w:br w:type="column"/>
      </w:r>
      <w:r>
        <w:rPr>
          <w:color w:val="231F20"/>
          <w:w w:val="110"/>
        </w:rPr>
        <w:t xml:space="preserve">are not imposed in large numbers, possibly in part because of lack of local provision (Mair et al., 2008). </w:t>
      </w:r>
      <w:r>
        <w:rPr>
          <w:color w:val="231F20"/>
          <w:spacing w:val="-8"/>
          <w:w w:val="110"/>
        </w:rPr>
        <w:t>Two</w:t>
      </w:r>
      <w:r>
        <w:rPr>
          <w:color w:val="231F20"/>
          <w:spacing w:val="-29"/>
          <w:w w:val="110"/>
        </w:rPr>
        <w:t xml:space="preserve"> </w:t>
      </w:r>
      <w:r>
        <w:rPr>
          <w:color w:val="231F20"/>
          <w:w w:val="110"/>
        </w:rPr>
        <w:t>of</w:t>
      </w:r>
      <w:r>
        <w:rPr>
          <w:color w:val="231F20"/>
          <w:spacing w:val="-28"/>
          <w:w w:val="110"/>
        </w:rPr>
        <w:t xml:space="preserve"> </w:t>
      </w:r>
      <w:r>
        <w:rPr>
          <w:color w:val="231F20"/>
          <w:w w:val="110"/>
        </w:rPr>
        <w:t>the</w:t>
      </w:r>
      <w:r>
        <w:rPr>
          <w:color w:val="231F20"/>
          <w:spacing w:val="-29"/>
          <w:w w:val="110"/>
        </w:rPr>
        <w:t xml:space="preserve"> </w:t>
      </w:r>
      <w:proofErr w:type="gramStart"/>
      <w:r>
        <w:rPr>
          <w:color w:val="231F20"/>
          <w:w w:val="110"/>
        </w:rPr>
        <w:t>most</w:t>
      </w:r>
      <w:r>
        <w:rPr>
          <w:color w:val="231F20"/>
          <w:spacing w:val="-28"/>
          <w:w w:val="110"/>
        </w:rPr>
        <w:t xml:space="preserve"> </w:t>
      </w:r>
      <w:r>
        <w:rPr>
          <w:color w:val="231F20"/>
          <w:w w:val="110"/>
        </w:rPr>
        <w:t>commonly</w:t>
      </w:r>
      <w:r>
        <w:rPr>
          <w:color w:val="231F20"/>
          <w:spacing w:val="-29"/>
          <w:w w:val="110"/>
        </w:rPr>
        <w:t xml:space="preserve"> </w:t>
      </w:r>
      <w:r>
        <w:rPr>
          <w:color w:val="231F20"/>
          <w:spacing w:val="-3"/>
          <w:w w:val="110"/>
        </w:rPr>
        <w:t>imposed</w:t>
      </w:r>
      <w:proofErr w:type="gramEnd"/>
      <w:r>
        <w:rPr>
          <w:color w:val="231F20"/>
          <w:spacing w:val="-3"/>
          <w:w w:val="110"/>
        </w:rPr>
        <w:t xml:space="preserve"> </w:t>
      </w:r>
      <w:r>
        <w:rPr>
          <w:color w:val="231F20"/>
          <w:w w:val="110"/>
        </w:rPr>
        <w:t>community order</w:t>
      </w:r>
      <w:r>
        <w:rPr>
          <w:color w:val="231F20"/>
          <w:spacing w:val="-40"/>
          <w:w w:val="110"/>
        </w:rPr>
        <w:t xml:space="preserve"> </w:t>
      </w:r>
      <w:r>
        <w:rPr>
          <w:color w:val="231F20"/>
          <w:w w:val="110"/>
        </w:rPr>
        <w:t>requirements</w:t>
      </w:r>
    </w:p>
    <w:p w14:paraId="76CA0FC2" w14:textId="77777777" w:rsidR="00E047A2" w:rsidRDefault="00000000">
      <w:pPr>
        <w:pStyle w:val="BodyText"/>
        <w:spacing w:before="5" w:line="247" w:lineRule="auto"/>
        <w:ind w:right="904"/>
      </w:pPr>
      <w:r>
        <w:pict w14:anchorId="5573B906">
          <v:group id="_x0000_s1032" style="position:absolute;left:0;text-align:left;margin-left:566.95pt;margin-top:-100.25pt;width:28.35pt;height:505.15pt;z-index:251670528;mso-position-horizontal-relative:page" coordorigin="11339,-2005" coordsize="567,10103">
            <v:rect id="_x0000_s1034" style="position:absolute;left:11338;top:-2005;width:284;height:10103" fillcolor="#6d6e71" stroked="f"/>
            <v:rect id="_x0000_s1033" style="position:absolute;left:11622;top:-2005;width:283;height:10103" fillcolor="#d1d3d4" stroked="f"/>
            <w10:wrap anchorx="page"/>
          </v:group>
        </w:pict>
      </w:r>
      <w:r>
        <w:pict w14:anchorId="538DEC2D">
          <v:shape id="_x0000_s1031" type="#_x0000_t202" style="position:absolute;left:0;text-align:left;margin-left:565.6pt;margin-top:-58.75pt;width:16.7pt;height:421.95pt;z-index:251671552;mso-position-horizontal-relative:page" filled="f" stroked="f">
            <v:textbox style="layout-flow:vertical;mso-layout-flow-alt:bottom-to-top" inset="0,0,0,0">
              <w:txbxContent>
                <w:p w14:paraId="3D1996EB" w14:textId="77777777" w:rsidR="00E047A2" w:rsidRDefault="00000000">
                  <w:pPr>
                    <w:spacing w:before="28"/>
                    <w:ind w:left="20"/>
                    <w:rPr>
                      <w:rFonts w:ascii="Calibri"/>
                      <w:b/>
                      <w:sz w:val="24"/>
                    </w:rPr>
                  </w:pPr>
                  <w:r>
                    <w:rPr>
                      <w:rFonts w:ascii="Calibri"/>
                      <w:b/>
                      <w:color w:val="FFFFFF"/>
                      <w:w w:val="105"/>
                      <w:sz w:val="24"/>
                    </w:rPr>
                    <w:t xml:space="preserve">T H E M E D S E C T I O </w:t>
                  </w:r>
                  <w:proofErr w:type="gramStart"/>
                  <w:r>
                    <w:rPr>
                      <w:rFonts w:ascii="Calibri"/>
                      <w:b/>
                      <w:color w:val="FFFFFF"/>
                      <w:w w:val="105"/>
                      <w:sz w:val="24"/>
                    </w:rPr>
                    <w:t>N :</w:t>
                  </w:r>
                  <w:proofErr w:type="gramEnd"/>
                  <w:r>
                    <w:rPr>
                      <w:rFonts w:ascii="Calibri"/>
                      <w:b/>
                      <w:color w:val="FFFFFF"/>
                      <w:w w:val="105"/>
                      <w:sz w:val="24"/>
                    </w:rPr>
                    <w:t xml:space="preserve"> C R I M I N A L </w:t>
                  </w:r>
                  <w:r>
                    <w:rPr>
                      <w:rFonts w:ascii="Calibri"/>
                      <w:b/>
                      <w:color w:val="FFFFFF"/>
                      <w:w w:val="130"/>
                      <w:sz w:val="24"/>
                    </w:rPr>
                    <w:t xml:space="preserve">j </w:t>
                  </w:r>
                  <w:r>
                    <w:rPr>
                      <w:rFonts w:ascii="Calibri"/>
                      <w:b/>
                      <w:color w:val="FFFFFF"/>
                      <w:w w:val="105"/>
                      <w:sz w:val="24"/>
                    </w:rPr>
                    <w:t>U S T I C E A N D T H E C O A L I T I O N</w:t>
                  </w:r>
                </w:p>
              </w:txbxContent>
            </v:textbox>
            <w10:wrap anchorx="page"/>
          </v:shape>
        </w:pict>
      </w:r>
      <w:r>
        <w:rPr>
          <w:color w:val="231F20"/>
          <w:w w:val="105"/>
        </w:rPr>
        <w:t>– unpaid work and probation supervision – would not be appropriate for CPIs.</w:t>
      </w:r>
    </w:p>
    <w:p w14:paraId="40CB8754" w14:textId="77777777" w:rsidR="00E047A2" w:rsidRDefault="00000000">
      <w:pPr>
        <w:pStyle w:val="BodyText"/>
        <w:spacing w:before="4" w:line="247" w:lineRule="auto"/>
        <w:ind w:right="904" w:firstLine="283"/>
      </w:pPr>
      <w:r>
        <w:rPr>
          <w:color w:val="231F20"/>
          <w:w w:val="105"/>
        </w:rPr>
        <w:t>It is therefore likely that CPIs will tend to contain prohibitions and that most positive requirements imposed will create obligations only for the defendant. Since most such obligations can be rephrased as</w:t>
      </w:r>
    </w:p>
    <w:p w14:paraId="5B13731C" w14:textId="77777777" w:rsidR="00E047A2" w:rsidRDefault="00000000">
      <w:pPr>
        <w:pStyle w:val="BodyText"/>
        <w:spacing w:before="6"/>
        <w:ind w:left="1773"/>
      </w:pPr>
      <w:r>
        <w:rPr>
          <w:color w:val="231F20"/>
          <w:w w:val="110"/>
        </w:rPr>
        <w:t>prohibitions in</w:t>
      </w:r>
    </w:p>
    <w:p w14:paraId="1433F1F6" w14:textId="77777777" w:rsidR="00E047A2" w:rsidRDefault="00E047A2">
      <w:pPr>
        <w:sectPr w:rsidR="00E047A2">
          <w:type w:val="continuous"/>
          <w:pgSz w:w="11910" w:h="16840"/>
          <w:pgMar w:top="0" w:right="0" w:bottom="280" w:left="740" w:header="720" w:footer="720" w:gutter="0"/>
          <w:cols w:num="3" w:space="720" w:equalWidth="0">
            <w:col w:w="3277" w:space="219"/>
            <w:col w:w="3197" w:space="299"/>
            <w:col w:w="4178"/>
          </w:cols>
        </w:sectPr>
      </w:pPr>
    </w:p>
    <w:p w14:paraId="27D6165A" w14:textId="77777777" w:rsidR="00E047A2" w:rsidRDefault="00000000">
      <w:pPr>
        <w:pStyle w:val="BodyText"/>
        <w:spacing w:before="8" w:line="247" w:lineRule="auto"/>
        <w:ind w:right="265"/>
      </w:pPr>
      <w:r>
        <w:rPr>
          <w:color w:val="231F20"/>
          <w:w w:val="110"/>
        </w:rPr>
        <w:t xml:space="preserve">that, as a matter of pragmatism, anti-social </w:t>
      </w:r>
      <w:proofErr w:type="spellStart"/>
      <w:r>
        <w:rPr>
          <w:color w:val="231F20"/>
          <w:w w:val="110"/>
        </w:rPr>
        <w:t>behaviour</w:t>
      </w:r>
      <w:proofErr w:type="spellEnd"/>
      <w:r>
        <w:rPr>
          <w:color w:val="231F20"/>
          <w:w w:val="110"/>
        </w:rPr>
        <w:t xml:space="preserve"> founding</w:t>
      </w:r>
      <w:r>
        <w:rPr>
          <w:color w:val="231F20"/>
          <w:spacing w:val="-24"/>
          <w:w w:val="110"/>
        </w:rPr>
        <w:t xml:space="preserve"> </w:t>
      </w:r>
      <w:r>
        <w:rPr>
          <w:color w:val="231F20"/>
          <w:spacing w:val="-9"/>
          <w:w w:val="110"/>
        </w:rPr>
        <w:t>an</w:t>
      </w:r>
    </w:p>
    <w:p w14:paraId="5B244612" w14:textId="77777777" w:rsidR="00E047A2" w:rsidRDefault="00000000">
      <w:pPr>
        <w:pStyle w:val="BodyText"/>
        <w:spacing w:before="2" w:line="247" w:lineRule="auto"/>
        <w:ind w:right="28"/>
      </w:pPr>
      <w:r>
        <w:rPr>
          <w:color w:val="231F20"/>
          <w:w w:val="110"/>
        </w:rPr>
        <w:t>ASBO</w:t>
      </w:r>
      <w:r>
        <w:rPr>
          <w:color w:val="231F20"/>
          <w:spacing w:val="-21"/>
          <w:w w:val="110"/>
        </w:rPr>
        <w:t xml:space="preserve"> </w:t>
      </w:r>
      <w:r>
        <w:rPr>
          <w:color w:val="231F20"/>
          <w:w w:val="110"/>
        </w:rPr>
        <w:t>application</w:t>
      </w:r>
      <w:r>
        <w:rPr>
          <w:color w:val="231F20"/>
          <w:spacing w:val="-20"/>
          <w:w w:val="110"/>
        </w:rPr>
        <w:t xml:space="preserve"> </w:t>
      </w:r>
      <w:r>
        <w:rPr>
          <w:color w:val="231F20"/>
          <w:w w:val="110"/>
        </w:rPr>
        <w:t>should</w:t>
      </w:r>
      <w:r>
        <w:rPr>
          <w:color w:val="231F20"/>
          <w:spacing w:val="-20"/>
          <w:w w:val="110"/>
        </w:rPr>
        <w:t xml:space="preserve"> </w:t>
      </w:r>
      <w:r>
        <w:rPr>
          <w:color w:val="231F20"/>
          <w:w w:val="110"/>
        </w:rPr>
        <w:t>be</w:t>
      </w:r>
      <w:r>
        <w:rPr>
          <w:color w:val="231F20"/>
          <w:spacing w:val="-21"/>
          <w:w w:val="110"/>
        </w:rPr>
        <w:t xml:space="preserve"> </w:t>
      </w:r>
      <w:r>
        <w:rPr>
          <w:color w:val="231F20"/>
          <w:w w:val="110"/>
        </w:rPr>
        <w:t>proved to the criminal standard – that is, beyond</w:t>
      </w:r>
      <w:r>
        <w:rPr>
          <w:color w:val="231F20"/>
          <w:spacing w:val="-34"/>
          <w:w w:val="110"/>
        </w:rPr>
        <w:t xml:space="preserve"> </w:t>
      </w:r>
      <w:r>
        <w:rPr>
          <w:color w:val="231F20"/>
          <w:w w:val="110"/>
        </w:rPr>
        <w:t>reasonable</w:t>
      </w:r>
      <w:r>
        <w:rPr>
          <w:color w:val="231F20"/>
          <w:spacing w:val="-33"/>
          <w:w w:val="110"/>
        </w:rPr>
        <w:t xml:space="preserve"> </w:t>
      </w:r>
      <w:r>
        <w:rPr>
          <w:color w:val="231F20"/>
          <w:w w:val="110"/>
        </w:rPr>
        <w:t>doubt.</w:t>
      </w:r>
      <w:r>
        <w:rPr>
          <w:color w:val="231F20"/>
          <w:spacing w:val="-34"/>
          <w:w w:val="110"/>
        </w:rPr>
        <w:t xml:space="preserve"> </w:t>
      </w:r>
      <w:r>
        <w:rPr>
          <w:color w:val="231F20"/>
          <w:spacing w:val="-5"/>
          <w:w w:val="110"/>
        </w:rPr>
        <w:t xml:space="preserve">However, </w:t>
      </w:r>
      <w:r>
        <w:rPr>
          <w:color w:val="231F20"/>
          <w:w w:val="110"/>
        </w:rPr>
        <w:t>if</w:t>
      </w:r>
      <w:r>
        <w:rPr>
          <w:color w:val="231F20"/>
          <w:spacing w:val="-16"/>
          <w:w w:val="110"/>
        </w:rPr>
        <w:t xml:space="preserve"> </w:t>
      </w:r>
      <w:r>
        <w:rPr>
          <w:color w:val="231F20"/>
          <w:w w:val="110"/>
        </w:rPr>
        <w:t>legislation</w:t>
      </w:r>
      <w:r>
        <w:rPr>
          <w:color w:val="231F20"/>
          <w:spacing w:val="-16"/>
          <w:w w:val="110"/>
        </w:rPr>
        <w:t xml:space="preserve"> </w:t>
      </w:r>
      <w:r>
        <w:rPr>
          <w:color w:val="231F20"/>
          <w:w w:val="110"/>
        </w:rPr>
        <w:t>specified</w:t>
      </w:r>
      <w:r>
        <w:rPr>
          <w:color w:val="231F20"/>
          <w:spacing w:val="-16"/>
          <w:w w:val="110"/>
        </w:rPr>
        <w:t xml:space="preserve"> </w:t>
      </w:r>
      <w:r>
        <w:rPr>
          <w:color w:val="231F20"/>
          <w:w w:val="110"/>
        </w:rPr>
        <w:t>that,</w:t>
      </w:r>
      <w:r>
        <w:rPr>
          <w:color w:val="231F20"/>
          <w:spacing w:val="-16"/>
          <w:w w:val="110"/>
        </w:rPr>
        <w:t xml:space="preserve"> </w:t>
      </w:r>
      <w:r>
        <w:rPr>
          <w:color w:val="231F20"/>
          <w:w w:val="110"/>
        </w:rPr>
        <w:t>for</w:t>
      </w:r>
      <w:r>
        <w:rPr>
          <w:color w:val="231F20"/>
          <w:spacing w:val="-16"/>
          <w:w w:val="110"/>
        </w:rPr>
        <w:t xml:space="preserve"> </w:t>
      </w:r>
      <w:r>
        <w:rPr>
          <w:color w:val="231F20"/>
          <w:w w:val="110"/>
        </w:rPr>
        <w:t>CPIs, the standard was to be the balance of</w:t>
      </w:r>
      <w:r>
        <w:rPr>
          <w:color w:val="231F20"/>
          <w:spacing w:val="-17"/>
          <w:w w:val="110"/>
        </w:rPr>
        <w:t xml:space="preserve"> </w:t>
      </w:r>
      <w:r>
        <w:rPr>
          <w:color w:val="231F20"/>
          <w:w w:val="110"/>
        </w:rPr>
        <w:t>probabilities,</w:t>
      </w:r>
      <w:r>
        <w:rPr>
          <w:color w:val="231F20"/>
          <w:spacing w:val="-17"/>
          <w:w w:val="110"/>
        </w:rPr>
        <w:t xml:space="preserve"> </w:t>
      </w:r>
      <w:r>
        <w:rPr>
          <w:color w:val="231F20"/>
          <w:w w:val="110"/>
        </w:rPr>
        <w:t>the</w:t>
      </w:r>
      <w:r>
        <w:rPr>
          <w:color w:val="231F20"/>
          <w:spacing w:val="-17"/>
          <w:w w:val="110"/>
        </w:rPr>
        <w:t xml:space="preserve"> </w:t>
      </w:r>
      <w:r>
        <w:rPr>
          <w:color w:val="231F20"/>
          <w:w w:val="110"/>
        </w:rPr>
        <w:t>courts</w:t>
      </w:r>
      <w:r>
        <w:rPr>
          <w:color w:val="231F20"/>
          <w:spacing w:val="-17"/>
          <w:w w:val="110"/>
        </w:rPr>
        <w:t xml:space="preserve"> </w:t>
      </w:r>
      <w:r>
        <w:rPr>
          <w:color w:val="231F20"/>
          <w:w w:val="110"/>
        </w:rPr>
        <w:t>would</w:t>
      </w:r>
    </w:p>
    <w:p w14:paraId="19A11667" w14:textId="77777777" w:rsidR="00E047A2" w:rsidRDefault="00000000">
      <w:pPr>
        <w:spacing w:before="7" w:line="242" w:lineRule="auto"/>
        <w:ind w:left="110" w:right="104"/>
        <w:rPr>
          <w:sz w:val="20"/>
        </w:rPr>
      </w:pPr>
      <w:r>
        <w:rPr>
          <w:color w:val="231F20"/>
          <w:w w:val="110"/>
          <w:sz w:val="20"/>
        </w:rPr>
        <w:t>be</w:t>
      </w:r>
      <w:r>
        <w:rPr>
          <w:color w:val="231F20"/>
          <w:spacing w:val="-14"/>
          <w:w w:val="110"/>
          <w:sz w:val="20"/>
        </w:rPr>
        <w:t xml:space="preserve"> </w:t>
      </w:r>
      <w:r>
        <w:rPr>
          <w:color w:val="231F20"/>
          <w:w w:val="110"/>
          <w:sz w:val="20"/>
        </w:rPr>
        <w:t>unlikely</w:t>
      </w:r>
      <w:r>
        <w:rPr>
          <w:color w:val="231F20"/>
          <w:spacing w:val="-14"/>
          <w:w w:val="110"/>
          <w:sz w:val="20"/>
        </w:rPr>
        <w:t xml:space="preserve"> </w:t>
      </w:r>
      <w:r>
        <w:rPr>
          <w:color w:val="231F20"/>
          <w:w w:val="110"/>
          <w:sz w:val="20"/>
        </w:rPr>
        <w:t>to</w:t>
      </w:r>
      <w:r>
        <w:rPr>
          <w:color w:val="231F20"/>
          <w:spacing w:val="-14"/>
          <w:w w:val="110"/>
          <w:sz w:val="20"/>
        </w:rPr>
        <w:t xml:space="preserve"> </w:t>
      </w:r>
      <w:r>
        <w:rPr>
          <w:color w:val="231F20"/>
          <w:w w:val="110"/>
          <w:sz w:val="20"/>
        </w:rPr>
        <w:t>issue</w:t>
      </w:r>
      <w:r>
        <w:rPr>
          <w:color w:val="231F20"/>
          <w:spacing w:val="-14"/>
          <w:w w:val="110"/>
          <w:sz w:val="20"/>
        </w:rPr>
        <w:t xml:space="preserve"> </w:t>
      </w:r>
      <w:r>
        <w:rPr>
          <w:color w:val="231F20"/>
          <w:w w:val="110"/>
          <w:sz w:val="20"/>
        </w:rPr>
        <w:t>a</w:t>
      </w:r>
      <w:r>
        <w:rPr>
          <w:color w:val="231F20"/>
          <w:spacing w:val="-14"/>
          <w:w w:val="110"/>
          <w:sz w:val="20"/>
        </w:rPr>
        <w:t xml:space="preserve"> </w:t>
      </w:r>
      <w:r>
        <w:rPr>
          <w:color w:val="231F20"/>
          <w:w w:val="110"/>
          <w:sz w:val="20"/>
        </w:rPr>
        <w:t>declaration</w:t>
      </w:r>
      <w:r>
        <w:rPr>
          <w:color w:val="231F20"/>
          <w:spacing w:val="-14"/>
          <w:w w:val="110"/>
          <w:sz w:val="20"/>
        </w:rPr>
        <w:t xml:space="preserve"> </w:t>
      </w:r>
      <w:r>
        <w:rPr>
          <w:color w:val="231F20"/>
          <w:spacing w:val="-9"/>
          <w:w w:val="110"/>
          <w:sz w:val="20"/>
        </w:rPr>
        <w:t xml:space="preserve">of </w:t>
      </w:r>
      <w:r>
        <w:rPr>
          <w:color w:val="231F20"/>
          <w:w w:val="110"/>
          <w:sz w:val="20"/>
        </w:rPr>
        <w:t xml:space="preserve">incompatibility under the </w:t>
      </w:r>
      <w:r>
        <w:rPr>
          <w:rFonts w:ascii="Book Antiqua"/>
          <w:i/>
          <w:color w:val="231F20"/>
          <w:w w:val="110"/>
          <w:sz w:val="20"/>
        </w:rPr>
        <w:t>Human Rights</w:t>
      </w:r>
      <w:r>
        <w:rPr>
          <w:rFonts w:ascii="Book Antiqua"/>
          <w:i/>
          <w:color w:val="231F20"/>
          <w:spacing w:val="-13"/>
          <w:w w:val="110"/>
          <w:sz w:val="20"/>
        </w:rPr>
        <w:t xml:space="preserve"> </w:t>
      </w:r>
      <w:r>
        <w:rPr>
          <w:rFonts w:ascii="Book Antiqua"/>
          <w:i/>
          <w:color w:val="231F20"/>
          <w:w w:val="110"/>
          <w:sz w:val="20"/>
        </w:rPr>
        <w:t>Act</w:t>
      </w:r>
      <w:r>
        <w:rPr>
          <w:rFonts w:ascii="Book Antiqua"/>
          <w:i/>
          <w:color w:val="231F20"/>
          <w:spacing w:val="-9"/>
          <w:w w:val="110"/>
          <w:sz w:val="20"/>
        </w:rPr>
        <w:t xml:space="preserve"> </w:t>
      </w:r>
      <w:r>
        <w:rPr>
          <w:rFonts w:ascii="Book Antiqua"/>
          <w:i/>
          <w:color w:val="231F20"/>
          <w:w w:val="110"/>
          <w:sz w:val="20"/>
        </w:rPr>
        <w:t>1998</w:t>
      </w:r>
      <w:r>
        <w:rPr>
          <w:color w:val="231F20"/>
          <w:w w:val="110"/>
          <w:sz w:val="20"/>
        </w:rPr>
        <w:t>,</w:t>
      </w:r>
      <w:r>
        <w:rPr>
          <w:color w:val="231F20"/>
          <w:spacing w:val="-14"/>
          <w:w w:val="110"/>
          <w:sz w:val="20"/>
        </w:rPr>
        <w:t xml:space="preserve"> </w:t>
      </w:r>
      <w:r>
        <w:rPr>
          <w:color w:val="231F20"/>
          <w:w w:val="110"/>
          <w:sz w:val="20"/>
        </w:rPr>
        <w:t>meaning</w:t>
      </w:r>
      <w:r>
        <w:rPr>
          <w:color w:val="231F20"/>
          <w:spacing w:val="-14"/>
          <w:w w:val="110"/>
          <w:sz w:val="20"/>
        </w:rPr>
        <w:t xml:space="preserve"> </w:t>
      </w:r>
      <w:r>
        <w:rPr>
          <w:color w:val="231F20"/>
          <w:w w:val="110"/>
          <w:sz w:val="20"/>
        </w:rPr>
        <w:t>that</w:t>
      </w:r>
    </w:p>
    <w:p w14:paraId="53E53C8B" w14:textId="77777777" w:rsidR="00E047A2" w:rsidRDefault="00000000">
      <w:pPr>
        <w:pStyle w:val="BodyText"/>
        <w:spacing w:line="247" w:lineRule="auto"/>
        <w:ind w:right="330"/>
      </w:pPr>
      <w:r>
        <w:rPr>
          <w:color w:val="231F20"/>
          <w:w w:val="105"/>
        </w:rPr>
        <w:t xml:space="preserve">the civil standard would </w:t>
      </w:r>
      <w:r>
        <w:rPr>
          <w:color w:val="231F20"/>
          <w:spacing w:val="-7"/>
          <w:w w:val="105"/>
        </w:rPr>
        <w:t xml:space="preserve">apply. </w:t>
      </w:r>
      <w:r>
        <w:rPr>
          <w:color w:val="231F20"/>
          <w:spacing w:val="-3"/>
          <w:w w:val="105"/>
        </w:rPr>
        <w:t>The</w:t>
      </w:r>
      <w:r>
        <w:rPr>
          <w:color w:val="231F20"/>
          <w:spacing w:val="-15"/>
          <w:w w:val="105"/>
        </w:rPr>
        <w:t xml:space="preserve"> </w:t>
      </w:r>
      <w:r>
        <w:rPr>
          <w:color w:val="231F20"/>
          <w:w w:val="105"/>
        </w:rPr>
        <w:t>requirement</w:t>
      </w:r>
      <w:r>
        <w:rPr>
          <w:color w:val="231F20"/>
          <w:spacing w:val="-14"/>
          <w:w w:val="105"/>
        </w:rPr>
        <w:t xml:space="preserve"> </w:t>
      </w:r>
      <w:r>
        <w:rPr>
          <w:color w:val="231F20"/>
          <w:w w:val="105"/>
        </w:rPr>
        <w:t>to</w:t>
      </w:r>
      <w:r>
        <w:rPr>
          <w:color w:val="231F20"/>
          <w:spacing w:val="-14"/>
          <w:w w:val="105"/>
        </w:rPr>
        <w:t xml:space="preserve"> </w:t>
      </w:r>
      <w:r>
        <w:rPr>
          <w:color w:val="231F20"/>
          <w:w w:val="105"/>
        </w:rPr>
        <w:t>prove</w:t>
      </w:r>
      <w:r>
        <w:rPr>
          <w:color w:val="231F20"/>
          <w:spacing w:val="-14"/>
          <w:w w:val="105"/>
        </w:rPr>
        <w:t xml:space="preserve"> </w:t>
      </w:r>
      <w:r>
        <w:rPr>
          <w:color w:val="231F20"/>
          <w:w w:val="105"/>
        </w:rPr>
        <w:t>past</w:t>
      </w:r>
    </w:p>
    <w:p w14:paraId="1C507325" w14:textId="77777777" w:rsidR="00E047A2" w:rsidRDefault="00000000">
      <w:pPr>
        <w:pStyle w:val="BodyText"/>
        <w:spacing w:before="9" w:line="247" w:lineRule="auto"/>
        <w:ind w:right="38"/>
      </w:pPr>
      <w:r>
        <w:br w:type="column"/>
      </w:r>
      <w:proofErr w:type="gramStart"/>
      <w:r>
        <w:rPr>
          <w:color w:val="231F20"/>
          <w:w w:val="105"/>
        </w:rPr>
        <w:t>first</w:t>
      </w:r>
      <w:proofErr w:type="gramEnd"/>
      <w:r>
        <w:rPr>
          <w:color w:val="231F20"/>
          <w:w w:val="105"/>
        </w:rPr>
        <w:t xml:space="preserve"> type of requirement </w:t>
      </w:r>
      <w:proofErr w:type="gramStart"/>
      <w:r>
        <w:rPr>
          <w:color w:val="231F20"/>
          <w:w w:val="105"/>
        </w:rPr>
        <w:t>would  be</w:t>
      </w:r>
      <w:proofErr w:type="gramEnd"/>
      <w:r>
        <w:rPr>
          <w:color w:val="231F20"/>
          <w:w w:val="105"/>
        </w:rPr>
        <w:t xml:space="preserve"> available to </w:t>
      </w:r>
      <w:r>
        <w:rPr>
          <w:color w:val="231F20"/>
          <w:spacing w:val="-3"/>
          <w:w w:val="105"/>
        </w:rPr>
        <w:t xml:space="preserve">courts </w:t>
      </w:r>
      <w:r>
        <w:rPr>
          <w:color w:val="231F20"/>
          <w:w w:val="105"/>
        </w:rPr>
        <w:t>imposing</w:t>
      </w:r>
      <w:r>
        <w:rPr>
          <w:color w:val="231F20"/>
          <w:spacing w:val="3"/>
          <w:w w:val="105"/>
        </w:rPr>
        <w:t xml:space="preserve"> </w:t>
      </w:r>
      <w:r>
        <w:rPr>
          <w:color w:val="231F20"/>
          <w:w w:val="105"/>
        </w:rPr>
        <w:t>CPIs.</w:t>
      </w:r>
    </w:p>
    <w:p w14:paraId="555E1354" w14:textId="77777777" w:rsidR="00E047A2" w:rsidRDefault="00000000">
      <w:pPr>
        <w:pStyle w:val="BodyText"/>
        <w:spacing w:before="6" w:line="247" w:lineRule="auto"/>
        <w:ind w:right="161"/>
      </w:pPr>
      <w:r>
        <w:rPr>
          <w:color w:val="231F20"/>
          <w:spacing w:val="-3"/>
          <w:w w:val="105"/>
        </w:rPr>
        <w:t xml:space="preserve">The </w:t>
      </w:r>
      <w:r>
        <w:rPr>
          <w:color w:val="231F20"/>
          <w:spacing w:val="-2"/>
          <w:w w:val="105"/>
        </w:rPr>
        <w:t xml:space="preserve">consultation </w:t>
      </w:r>
      <w:r>
        <w:rPr>
          <w:color w:val="231F20"/>
          <w:w w:val="105"/>
        </w:rPr>
        <w:t>expressly provides, in relation to CBOs, that</w:t>
      </w:r>
      <w:r>
        <w:rPr>
          <w:color w:val="231F20"/>
          <w:spacing w:val="-18"/>
          <w:w w:val="105"/>
        </w:rPr>
        <w:t xml:space="preserve"> </w:t>
      </w:r>
      <w:r>
        <w:rPr>
          <w:color w:val="231F20"/>
          <w:w w:val="105"/>
        </w:rPr>
        <w:t>the</w:t>
      </w:r>
    </w:p>
    <w:p w14:paraId="151862E6" w14:textId="77777777" w:rsidR="00E047A2" w:rsidRDefault="00000000">
      <w:pPr>
        <w:pStyle w:val="BodyText"/>
        <w:spacing w:before="5" w:line="247" w:lineRule="auto"/>
        <w:ind w:right="38"/>
      </w:pPr>
      <w:r>
        <w:rPr>
          <w:color w:val="231F20"/>
        </w:rPr>
        <w:t xml:space="preserve">prosecutor would ‘need to </w:t>
      </w:r>
      <w:proofErr w:type="gramStart"/>
      <w:r>
        <w:rPr>
          <w:color w:val="231F20"/>
        </w:rPr>
        <w:t>be  able</w:t>
      </w:r>
      <w:proofErr w:type="gramEnd"/>
      <w:r>
        <w:rPr>
          <w:color w:val="231F20"/>
        </w:rPr>
        <w:t xml:space="preserve"> to satisfy the</w:t>
      </w:r>
      <w:r>
        <w:rPr>
          <w:color w:val="231F20"/>
          <w:spacing w:val="29"/>
        </w:rPr>
        <w:t xml:space="preserve"> </w:t>
      </w:r>
      <w:r>
        <w:rPr>
          <w:color w:val="231F20"/>
          <w:spacing w:val="-4"/>
        </w:rPr>
        <w:t>court</w:t>
      </w:r>
    </w:p>
    <w:p w14:paraId="6396BBD0" w14:textId="77777777" w:rsidR="00E047A2" w:rsidRDefault="00000000">
      <w:pPr>
        <w:pStyle w:val="Heading1"/>
        <w:spacing w:line="244" w:lineRule="auto"/>
        <w:ind w:right="38"/>
      </w:pPr>
      <w:r>
        <w:rPr>
          <w:i w:val="0"/>
        </w:rPr>
        <w:br w:type="column"/>
      </w:r>
      <w:r>
        <w:rPr>
          <w:color w:val="231F20"/>
        </w:rPr>
        <w:t>It</w:t>
      </w:r>
      <w:r>
        <w:rPr>
          <w:color w:val="231F20"/>
          <w:spacing w:val="-29"/>
        </w:rPr>
        <w:t xml:space="preserve"> </w:t>
      </w:r>
      <w:r>
        <w:rPr>
          <w:color w:val="231F20"/>
        </w:rPr>
        <w:t>is</w:t>
      </w:r>
      <w:r>
        <w:rPr>
          <w:color w:val="231F20"/>
          <w:spacing w:val="-29"/>
        </w:rPr>
        <w:t xml:space="preserve"> </w:t>
      </w:r>
      <w:r>
        <w:rPr>
          <w:color w:val="231F20"/>
        </w:rPr>
        <w:t>probable</w:t>
      </w:r>
      <w:r>
        <w:rPr>
          <w:color w:val="231F20"/>
          <w:spacing w:val="-28"/>
        </w:rPr>
        <w:t xml:space="preserve"> </w:t>
      </w:r>
      <w:r>
        <w:rPr>
          <w:color w:val="231F20"/>
        </w:rPr>
        <w:t>that</w:t>
      </w:r>
      <w:r>
        <w:rPr>
          <w:color w:val="231F20"/>
          <w:spacing w:val="-29"/>
        </w:rPr>
        <w:t xml:space="preserve"> </w:t>
      </w:r>
      <w:r>
        <w:rPr>
          <w:color w:val="231F20"/>
        </w:rPr>
        <w:t>the creation</w:t>
      </w:r>
      <w:r>
        <w:rPr>
          <w:color w:val="231F20"/>
          <w:spacing w:val="-43"/>
        </w:rPr>
        <w:t xml:space="preserve"> </w:t>
      </w:r>
      <w:r>
        <w:rPr>
          <w:color w:val="231F20"/>
        </w:rPr>
        <w:t>of</w:t>
      </w:r>
      <w:r>
        <w:rPr>
          <w:color w:val="231F20"/>
          <w:spacing w:val="-43"/>
        </w:rPr>
        <w:t xml:space="preserve"> </w:t>
      </w:r>
      <w:r>
        <w:rPr>
          <w:color w:val="231F20"/>
        </w:rPr>
        <w:t>CPIs</w:t>
      </w:r>
      <w:r>
        <w:rPr>
          <w:color w:val="231F20"/>
          <w:spacing w:val="-43"/>
        </w:rPr>
        <w:t xml:space="preserve"> </w:t>
      </w:r>
      <w:r>
        <w:rPr>
          <w:color w:val="231F20"/>
        </w:rPr>
        <w:t>in</w:t>
      </w:r>
      <w:r>
        <w:rPr>
          <w:color w:val="231F20"/>
          <w:spacing w:val="-43"/>
        </w:rPr>
        <w:t xml:space="preserve"> </w:t>
      </w:r>
      <w:r>
        <w:rPr>
          <w:color w:val="231F20"/>
          <w:spacing w:val="-4"/>
        </w:rPr>
        <w:t xml:space="preserve">place </w:t>
      </w:r>
      <w:r>
        <w:rPr>
          <w:color w:val="231F20"/>
        </w:rPr>
        <w:t>of ASBOs will make little</w:t>
      </w:r>
      <w:r>
        <w:rPr>
          <w:color w:val="231F20"/>
          <w:spacing w:val="-39"/>
        </w:rPr>
        <w:t xml:space="preserve"> </w:t>
      </w:r>
      <w:r>
        <w:rPr>
          <w:color w:val="231F20"/>
        </w:rPr>
        <w:t>difference</w:t>
      </w:r>
      <w:r>
        <w:rPr>
          <w:color w:val="231F20"/>
          <w:spacing w:val="-38"/>
        </w:rPr>
        <w:t xml:space="preserve"> </w:t>
      </w:r>
      <w:r>
        <w:rPr>
          <w:color w:val="231F20"/>
        </w:rPr>
        <w:t>to</w:t>
      </w:r>
      <w:r>
        <w:rPr>
          <w:color w:val="231F20"/>
          <w:spacing w:val="-38"/>
        </w:rPr>
        <w:t xml:space="preserve"> </w:t>
      </w:r>
      <w:r>
        <w:rPr>
          <w:color w:val="231F20"/>
        </w:rPr>
        <w:t xml:space="preserve">the </w:t>
      </w:r>
      <w:r>
        <w:rPr>
          <w:color w:val="231F20"/>
          <w:w w:val="95"/>
        </w:rPr>
        <w:t xml:space="preserve">recipients of the orders </w:t>
      </w:r>
      <w:r>
        <w:rPr>
          <w:color w:val="231F20"/>
        </w:rPr>
        <w:t>or</w:t>
      </w:r>
      <w:r>
        <w:rPr>
          <w:color w:val="231F20"/>
          <w:spacing w:val="-40"/>
        </w:rPr>
        <w:t xml:space="preserve"> </w:t>
      </w:r>
      <w:r>
        <w:rPr>
          <w:color w:val="231F20"/>
        </w:rPr>
        <w:t>to</w:t>
      </w:r>
      <w:r>
        <w:rPr>
          <w:color w:val="231F20"/>
          <w:spacing w:val="-40"/>
        </w:rPr>
        <w:t xml:space="preserve"> </w:t>
      </w:r>
      <w:r>
        <w:rPr>
          <w:color w:val="231F20"/>
        </w:rPr>
        <w:t>the</w:t>
      </w:r>
      <w:r>
        <w:rPr>
          <w:color w:val="231F20"/>
          <w:spacing w:val="-39"/>
        </w:rPr>
        <w:t xml:space="preserve"> </w:t>
      </w:r>
      <w:r>
        <w:rPr>
          <w:color w:val="231F20"/>
        </w:rPr>
        <w:t>communities they</w:t>
      </w:r>
      <w:r>
        <w:rPr>
          <w:color w:val="231F20"/>
          <w:spacing w:val="-24"/>
        </w:rPr>
        <w:t xml:space="preserve"> </w:t>
      </w:r>
      <w:r>
        <w:rPr>
          <w:color w:val="231F20"/>
        </w:rPr>
        <w:t>aim</w:t>
      </w:r>
      <w:r>
        <w:rPr>
          <w:color w:val="231F20"/>
          <w:spacing w:val="-23"/>
        </w:rPr>
        <w:t xml:space="preserve"> </w:t>
      </w:r>
      <w:r>
        <w:rPr>
          <w:color w:val="231F20"/>
        </w:rPr>
        <w:t>to</w:t>
      </w:r>
      <w:r>
        <w:rPr>
          <w:color w:val="231F20"/>
          <w:spacing w:val="-24"/>
        </w:rPr>
        <w:t xml:space="preserve"> </w:t>
      </w:r>
      <w:r>
        <w:rPr>
          <w:color w:val="231F20"/>
        </w:rPr>
        <w:t>protect</w:t>
      </w:r>
    </w:p>
    <w:p w14:paraId="28B0057D" w14:textId="77777777" w:rsidR="00E047A2" w:rsidRDefault="00000000">
      <w:pPr>
        <w:pStyle w:val="BodyText"/>
        <w:spacing w:before="8" w:line="247" w:lineRule="auto"/>
        <w:ind w:right="785"/>
      </w:pPr>
      <w:r>
        <w:br w:type="column"/>
      </w:r>
      <w:r>
        <w:rPr>
          <w:color w:val="231F20"/>
          <w:w w:val="110"/>
        </w:rPr>
        <w:t>any event (for example, the consultation paper’s example could have been written as a prohibition upon having a dog in a public place without a muzzle) it is questionable therefore how much the content</w:t>
      </w:r>
    </w:p>
    <w:p w14:paraId="03CF479C" w14:textId="77777777" w:rsidR="00E047A2" w:rsidRDefault="00E047A2">
      <w:pPr>
        <w:spacing w:line="247" w:lineRule="auto"/>
        <w:sectPr w:rsidR="00E047A2">
          <w:type w:val="continuous"/>
          <w:pgSz w:w="11910" w:h="16840"/>
          <w:pgMar w:top="0" w:right="0" w:bottom="280" w:left="740" w:header="720" w:footer="720" w:gutter="0"/>
          <w:cols w:num="4" w:space="720" w:equalWidth="0">
            <w:col w:w="3274" w:space="222"/>
            <w:col w:w="1719" w:space="205"/>
            <w:col w:w="3055" w:space="181"/>
            <w:col w:w="2514"/>
          </w:cols>
        </w:sectPr>
      </w:pPr>
    </w:p>
    <w:p w14:paraId="41FACBD1" w14:textId="77777777" w:rsidR="00E047A2" w:rsidRDefault="00000000">
      <w:pPr>
        <w:pStyle w:val="BodyText"/>
        <w:spacing w:line="247" w:lineRule="auto"/>
        <w:ind w:right="81"/>
      </w:pPr>
      <w:proofErr w:type="spellStart"/>
      <w:r>
        <w:rPr>
          <w:color w:val="231F20"/>
          <w:w w:val="105"/>
        </w:rPr>
        <w:t>behaviour</w:t>
      </w:r>
      <w:proofErr w:type="spellEnd"/>
      <w:r>
        <w:rPr>
          <w:color w:val="231F20"/>
          <w:w w:val="105"/>
        </w:rPr>
        <w:t xml:space="preserve"> to the criminal standard is a high hurdle; its removal will, </w:t>
      </w:r>
      <w:proofErr w:type="gramStart"/>
      <w:r>
        <w:rPr>
          <w:color w:val="231F20"/>
          <w:w w:val="105"/>
        </w:rPr>
        <w:t>it  is</w:t>
      </w:r>
      <w:proofErr w:type="gramEnd"/>
      <w:r>
        <w:rPr>
          <w:color w:val="231F20"/>
          <w:w w:val="105"/>
        </w:rPr>
        <w:t xml:space="preserve"> suggested, mean that CPIs will be easier to obtain on limited </w:t>
      </w:r>
      <w:r>
        <w:rPr>
          <w:color w:val="231F20"/>
          <w:spacing w:val="-3"/>
          <w:w w:val="105"/>
        </w:rPr>
        <w:t xml:space="preserve">evidence </w:t>
      </w:r>
      <w:r>
        <w:rPr>
          <w:color w:val="231F20"/>
          <w:w w:val="105"/>
        </w:rPr>
        <w:t>from professional witnesses, e.g. police</w:t>
      </w:r>
      <w:r>
        <w:rPr>
          <w:color w:val="231F20"/>
          <w:spacing w:val="-2"/>
          <w:w w:val="105"/>
        </w:rPr>
        <w:t xml:space="preserve"> </w:t>
      </w:r>
      <w:r>
        <w:rPr>
          <w:color w:val="231F20"/>
          <w:w w:val="105"/>
        </w:rPr>
        <w:t>officers.</w:t>
      </w:r>
    </w:p>
    <w:p w14:paraId="4D69E7D8" w14:textId="77777777" w:rsidR="00E047A2" w:rsidRDefault="00E047A2">
      <w:pPr>
        <w:pStyle w:val="BodyText"/>
        <w:spacing w:before="1"/>
        <w:ind w:left="0"/>
        <w:rPr>
          <w:sz w:val="21"/>
        </w:rPr>
      </w:pPr>
    </w:p>
    <w:p w14:paraId="72F017EA" w14:textId="77777777" w:rsidR="00E047A2" w:rsidRDefault="00000000">
      <w:pPr>
        <w:pStyle w:val="Heading2"/>
        <w:spacing w:before="0" w:line="196" w:lineRule="auto"/>
        <w:ind w:right="197"/>
      </w:pPr>
      <w:r>
        <w:rPr>
          <w:color w:val="231F20"/>
          <w:w w:val="105"/>
        </w:rPr>
        <w:t>Prohibitions or positive requirements?</w:t>
      </w:r>
    </w:p>
    <w:p w14:paraId="7FD27306" w14:textId="77777777" w:rsidR="00E047A2" w:rsidRDefault="00000000">
      <w:pPr>
        <w:pStyle w:val="BodyText"/>
        <w:spacing w:before="1" w:line="247" w:lineRule="auto"/>
        <w:ind w:right="197"/>
      </w:pPr>
      <w:r>
        <w:rPr>
          <w:color w:val="231F20"/>
          <w:w w:val="105"/>
        </w:rPr>
        <w:t>The consultation paper proposes that CPIs and CBOs could impose positive requirements upon</w:t>
      </w:r>
    </w:p>
    <w:p w14:paraId="4793B9AC" w14:textId="77777777" w:rsidR="00E047A2" w:rsidRDefault="00000000">
      <w:pPr>
        <w:pStyle w:val="BodyText"/>
        <w:spacing w:before="3" w:line="170" w:lineRule="exact"/>
      </w:pPr>
      <w:r>
        <w:rPr>
          <w:color w:val="231F20"/>
          <w:w w:val="110"/>
        </w:rPr>
        <w:t>defendants,</w:t>
      </w:r>
    </w:p>
    <w:p w14:paraId="0946C524" w14:textId="77777777" w:rsidR="00E047A2" w:rsidRDefault="00000000">
      <w:pPr>
        <w:pStyle w:val="BodyText"/>
        <w:spacing w:line="247" w:lineRule="auto"/>
      </w:pPr>
      <w:r>
        <w:br w:type="column"/>
      </w:r>
      <w:r>
        <w:rPr>
          <w:color w:val="231F20"/>
          <w:w w:val="105"/>
        </w:rPr>
        <w:t xml:space="preserve">that a relevant authority was in a position to satisfy or discharge any positive </w:t>
      </w:r>
      <w:proofErr w:type="gramStart"/>
      <w:r>
        <w:rPr>
          <w:color w:val="231F20"/>
          <w:w w:val="105"/>
        </w:rPr>
        <w:t>requirements’</w:t>
      </w:r>
      <w:proofErr w:type="gramEnd"/>
      <w:r>
        <w:rPr>
          <w:color w:val="231F20"/>
          <w:w w:val="105"/>
        </w:rPr>
        <w:t>. Presumably the same principle would</w:t>
      </w:r>
      <w:r>
        <w:rPr>
          <w:color w:val="231F20"/>
          <w:spacing w:val="31"/>
          <w:w w:val="105"/>
        </w:rPr>
        <w:t xml:space="preserve"> </w:t>
      </w:r>
      <w:r>
        <w:rPr>
          <w:color w:val="231F20"/>
          <w:w w:val="105"/>
        </w:rPr>
        <w:t>apply</w:t>
      </w:r>
    </w:p>
    <w:p w14:paraId="7B05BEC1" w14:textId="77777777" w:rsidR="00E047A2" w:rsidRDefault="00000000">
      <w:pPr>
        <w:pStyle w:val="BodyText"/>
        <w:spacing w:before="5" w:line="247" w:lineRule="auto"/>
        <w:ind w:right="276"/>
      </w:pPr>
      <w:r>
        <w:rPr>
          <w:color w:val="231F20"/>
          <w:w w:val="105"/>
        </w:rPr>
        <w:t xml:space="preserve">to CPIs: in many cases the local authority applicant would itself be the provider of the relevant </w:t>
      </w:r>
      <w:proofErr w:type="spellStart"/>
      <w:r>
        <w:rPr>
          <w:color w:val="231F20"/>
          <w:w w:val="105"/>
        </w:rPr>
        <w:t>programmes</w:t>
      </w:r>
      <w:proofErr w:type="spellEnd"/>
      <w:r>
        <w:rPr>
          <w:color w:val="231F20"/>
          <w:w w:val="105"/>
        </w:rPr>
        <w:t xml:space="preserve">. In the context of current funding </w:t>
      </w:r>
      <w:proofErr w:type="gramStart"/>
      <w:r>
        <w:rPr>
          <w:color w:val="231F20"/>
          <w:w w:val="105"/>
        </w:rPr>
        <w:t xml:space="preserve">cuts,  </w:t>
      </w:r>
      <w:r>
        <w:rPr>
          <w:color w:val="231F20"/>
          <w:spacing w:val="-3"/>
          <w:w w:val="105"/>
        </w:rPr>
        <w:t>however</w:t>
      </w:r>
      <w:proofErr w:type="gramEnd"/>
      <w:r>
        <w:rPr>
          <w:color w:val="231F20"/>
          <w:spacing w:val="-3"/>
          <w:w w:val="105"/>
        </w:rPr>
        <w:t xml:space="preserve">, </w:t>
      </w:r>
      <w:r>
        <w:rPr>
          <w:color w:val="231F20"/>
          <w:w w:val="105"/>
        </w:rPr>
        <w:t>it is doubtful how many such requirements courts will be</w:t>
      </w:r>
      <w:r>
        <w:rPr>
          <w:color w:val="231F20"/>
          <w:spacing w:val="12"/>
          <w:w w:val="105"/>
        </w:rPr>
        <w:t xml:space="preserve"> </w:t>
      </w:r>
      <w:r>
        <w:rPr>
          <w:color w:val="231F20"/>
          <w:spacing w:val="-5"/>
          <w:w w:val="105"/>
        </w:rPr>
        <w:t>able</w:t>
      </w:r>
    </w:p>
    <w:p w14:paraId="2673F9A9" w14:textId="77777777" w:rsidR="00E047A2" w:rsidRDefault="00000000">
      <w:pPr>
        <w:pStyle w:val="BodyText"/>
        <w:spacing w:before="8"/>
      </w:pPr>
      <w:r>
        <w:rPr>
          <w:color w:val="231F20"/>
          <w:w w:val="105"/>
        </w:rPr>
        <w:t>to include in CPIs, or indeed how</w:t>
      </w:r>
    </w:p>
    <w:p w14:paraId="4A3D9280" w14:textId="77777777" w:rsidR="00E047A2" w:rsidRDefault="00000000">
      <w:pPr>
        <w:pStyle w:val="BodyText"/>
        <w:spacing w:before="8" w:line="169" w:lineRule="exact"/>
        <w:ind w:left="1825"/>
      </w:pPr>
      <w:r>
        <w:rPr>
          <w:color w:val="231F20"/>
          <w:w w:val="110"/>
        </w:rPr>
        <w:t>many would</w:t>
      </w:r>
    </w:p>
    <w:p w14:paraId="372A04A1" w14:textId="77777777" w:rsidR="00E047A2" w:rsidRDefault="00000000">
      <w:pPr>
        <w:pStyle w:val="BodyText"/>
        <w:spacing w:line="247" w:lineRule="auto"/>
        <w:ind w:right="904"/>
      </w:pPr>
      <w:r>
        <w:br w:type="column"/>
      </w:r>
      <w:r>
        <w:rPr>
          <w:color w:val="231F20"/>
          <w:w w:val="105"/>
        </w:rPr>
        <w:t>of CPIs will differ from that of ASBOs.</w:t>
      </w:r>
    </w:p>
    <w:p w14:paraId="62005CF1" w14:textId="77777777" w:rsidR="00E047A2" w:rsidRDefault="00000000">
      <w:pPr>
        <w:pStyle w:val="BodyText"/>
        <w:spacing w:before="1" w:line="247" w:lineRule="auto"/>
        <w:ind w:right="869" w:firstLine="283"/>
      </w:pPr>
      <w:r>
        <w:rPr>
          <w:color w:val="231F20"/>
          <w:w w:val="105"/>
        </w:rPr>
        <w:t xml:space="preserve">It is probable that the creation of CPIs in place of ASBOs will make little difference to the recipients of the orders or to the communities they aim to protect. Nor will </w:t>
      </w:r>
      <w:proofErr w:type="gramStart"/>
      <w:r>
        <w:rPr>
          <w:color w:val="231F20"/>
          <w:w w:val="105"/>
        </w:rPr>
        <w:t>the majority of</w:t>
      </w:r>
      <w:proofErr w:type="gramEnd"/>
      <w:r>
        <w:rPr>
          <w:color w:val="231F20"/>
          <w:w w:val="105"/>
        </w:rPr>
        <w:t xml:space="preserve"> the criticisms of ASBOs be addressed by CPIs. In moving applications to the county courts, </w:t>
      </w:r>
      <w:r>
        <w:rPr>
          <w:color w:val="231F20"/>
          <w:spacing w:val="-6"/>
          <w:w w:val="105"/>
        </w:rPr>
        <w:t xml:space="preserve">the </w:t>
      </w:r>
      <w:r>
        <w:rPr>
          <w:color w:val="231F20"/>
          <w:w w:val="105"/>
        </w:rPr>
        <w:t xml:space="preserve">government is simply </w:t>
      </w:r>
      <w:proofErr w:type="gramStart"/>
      <w:r>
        <w:rPr>
          <w:color w:val="231F20"/>
          <w:w w:val="105"/>
        </w:rPr>
        <w:t>making  it</w:t>
      </w:r>
      <w:proofErr w:type="gramEnd"/>
      <w:r>
        <w:rPr>
          <w:color w:val="231F20"/>
          <w:w w:val="105"/>
        </w:rPr>
        <w:t xml:space="preserve"> easier to justify a civil standard of proof and therefore hoping to</w:t>
      </w:r>
      <w:r>
        <w:rPr>
          <w:color w:val="231F20"/>
          <w:spacing w:val="-22"/>
          <w:w w:val="105"/>
        </w:rPr>
        <w:t xml:space="preserve"> </w:t>
      </w:r>
      <w:r>
        <w:rPr>
          <w:color w:val="231F20"/>
          <w:w w:val="105"/>
        </w:rPr>
        <w:t>make</w:t>
      </w:r>
    </w:p>
    <w:p w14:paraId="42FA7C31" w14:textId="77777777" w:rsidR="00E047A2" w:rsidRDefault="00E047A2">
      <w:pPr>
        <w:spacing w:line="247" w:lineRule="auto"/>
        <w:sectPr w:rsidR="00E047A2">
          <w:type w:val="continuous"/>
          <w:pgSz w:w="11910" w:h="16840"/>
          <w:pgMar w:top="0" w:right="0" w:bottom="280" w:left="740" w:header="720" w:footer="720" w:gutter="0"/>
          <w:cols w:num="3" w:space="720" w:equalWidth="0">
            <w:col w:w="3241" w:space="255"/>
            <w:col w:w="3157" w:space="339"/>
            <w:col w:w="4178"/>
          </w:cols>
        </w:sectPr>
      </w:pPr>
    </w:p>
    <w:p w14:paraId="1E7B3A32" w14:textId="77777777" w:rsidR="00E047A2" w:rsidRDefault="00000000">
      <w:pPr>
        <w:pStyle w:val="BodyText"/>
        <w:spacing w:before="13" w:line="247" w:lineRule="auto"/>
        <w:ind w:right="31"/>
      </w:pPr>
      <w:r>
        <w:pict w14:anchorId="06AA61C1">
          <v:shape id="_x0000_s1030" type="#_x0000_t202" style="position:absolute;left:0;text-align:left;margin-left:303.05pt;margin-top:24.8pt;width:249.7pt;height:11.9pt;z-index:251672576;mso-position-horizontal-relative:page" filled="f" stroked="f">
            <v:textbox inset="0,0,0,0">
              <w:txbxContent>
                <w:p w14:paraId="63F74705" w14:textId="77777777" w:rsidR="00E047A2" w:rsidRDefault="00000000">
                  <w:pPr>
                    <w:pStyle w:val="BodyText"/>
                    <w:tabs>
                      <w:tab w:val="left" w:pos="1781"/>
                      <w:tab w:val="left" w:pos="4993"/>
                    </w:tabs>
                    <w:spacing w:line="230" w:lineRule="exact"/>
                    <w:ind w:left="0"/>
                  </w:pPr>
                  <w:r>
                    <w:rPr>
                      <w:color w:val="231F20"/>
                      <w:w w:val="105"/>
                    </w:rPr>
                    <w:t>requirements.</w:t>
                  </w:r>
                  <w:r>
                    <w:rPr>
                      <w:color w:val="231F20"/>
                    </w:rPr>
                    <w:tab/>
                  </w:r>
                  <w:r>
                    <w:rPr>
                      <w:color w:val="231F20"/>
                      <w:u w:val="single" w:color="6D6E71"/>
                    </w:rPr>
                    <w:t xml:space="preserve"> </w:t>
                  </w:r>
                  <w:r>
                    <w:rPr>
                      <w:color w:val="231F20"/>
                      <w:u w:val="single" w:color="6D6E71"/>
                    </w:rPr>
                    <w:tab/>
                  </w:r>
                </w:p>
              </w:txbxContent>
            </v:textbox>
            <w10:wrap anchorx="page"/>
          </v:shape>
        </w:pict>
      </w:r>
      <w:r>
        <w:rPr>
          <w:color w:val="231F20"/>
          <w:w w:val="105"/>
        </w:rPr>
        <w:t>but gives little information about</w:t>
      </w:r>
    </w:p>
    <w:p w14:paraId="78745432" w14:textId="77777777" w:rsidR="00E047A2" w:rsidRDefault="00000000">
      <w:pPr>
        <w:pStyle w:val="BodyText"/>
      </w:pPr>
      <w:r>
        <w:pict w14:anchorId="0950F4C6">
          <v:shape id="_x0000_s1029" type="#_x0000_t202" style="width:53.2pt;height:11.9pt;mso-left-percent:-10001;mso-top-percent:-10001;mso-position-horizontal:absolute;mso-position-horizontal-relative:char;mso-position-vertical:absolute;mso-position-vertical-relative:line;mso-left-percent:-10001;mso-top-percent:-10001" filled="f" stroked="f">
            <v:textbox inset="0,0,0,0">
              <w:txbxContent>
                <w:p w14:paraId="7E9136D2" w14:textId="77777777" w:rsidR="00E047A2" w:rsidRDefault="00000000">
                  <w:pPr>
                    <w:pStyle w:val="BodyText"/>
                    <w:spacing w:line="230" w:lineRule="exact"/>
                    <w:ind w:left="0"/>
                  </w:pPr>
                  <w:r>
                    <w:rPr>
                      <w:color w:val="231F20"/>
                      <w:w w:val="105"/>
                    </w:rPr>
                    <w:t xml:space="preserve">what type </w:t>
                  </w:r>
                  <w:r>
                    <w:rPr>
                      <w:color w:val="231F20"/>
                      <w:spacing w:val="-10"/>
                      <w:w w:val="105"/>
                    </w:rPr>
                    <w:t>of</w:t>
                  </w:r>
                </w:p>
              </w:txbxContent>
            </v:textbox>
            <w10:anchorlock/>
          </v:shape>
        </w:pict>
      </w:r>
    </w:p>
    <w:p w14:paraId="21CEFFAC" w14:textId="77777777" w:rsidR="00E047A2" w:rsidRDefault="00000000">
      <w:pPr>
        <w:pStyle w:val="Heading1"/>
        <w:spacing w:before="0" w:line="346" w:lineRule="exact"/>
        <w:ind w:left="239"/>
        <w:jc w:val="left"/>
      </w:pPr>
      <w:r>
        <w:rPr>
          <w:i w:val="0"/>
        </w:rPr>
        <w:br w:type="column"/>
      </w:r>
      <w:r>
        <w:rPr>
          <w:color w:val="231F20"/>
        </w:rPr>
        <w:t>The</w:t>
      </w:r>
      <w:r>
        <w:rPr>
          <w:color w:val="231F20"/>
          <w:spacing w:val="-40"/>
        </w:rPr>
        <w:t xml:space="preserve"> </w:t>
      </w:r>
      <w:r>
        <w:rPr>
          <w:color w:val="231F20"/>
        </w:rPr>
        <w:t>requirement</w:t>
      </w:r>
      <w:r>
        <w:rPr>
          <w:color w:val="231F20"/>
          <w:spacing w:val="-39"/>
        </w:rPr>
        <w:t xml:space="preserve"> </w:t>
      </w:r>
      <w:r>
        <w:rPr>
          <w:color w:val="231F20"/>
        </w:rPr>
        <w:t>to</w:t>
      </w:r>
    </w:p>
    <w:p w14:paraId="1D33268E" w14:textId="77777777" w:rsidR="00E047A2" w:rsidRDefault="00000000">
      <w:pPr>
        <w:spacing w:before="9" w:line="380" w:lineRule="exact"/>
        <w:ind w:left="110"/>
        <w:rPr>
          <w:rFonts w:ascii="Calibri"/>
          <w:i/>
          <w:sz w:val="32"/>
        </w:rPr>
      </w:pPr>
      <w:r>
        <w:rPr>
          <w:rFonts w:ascii="Calibri"/>
          <w:i/>
          <w:color w:val="231F20"/>
          <w:w w:val="95"/>
          <w:sz w:val="32"/>
        </w:rPr>
        <w:t xml:space="preserve">prove past </w:t>
      </w:r>
      <w:proofErr w:type="spellStart"/>
      <w:r>
        <w:rPr>
          <w:rFonts w:ascii="Calibri"/>
          <w:i/>
          <w:color w:val="231F20"/>
          <w:w w:val="95"/>
          <w:sz w:val="32"/>
        </w:rPr>
        <w:t>behaviour</w:t>
      </w:r>
      <w:proofErr w:type="spellEnd"/>
    </w:p>
    <w:p w14:paraId="4E5ACA7C" w14:textId="77777777" w:rsidR="00E047A2" w:rsidRDefault="00000000">
      <w:pPr>
        <w:pStyle w:val="BodyText"/>
        <w:spacing w:before="14" w:line="247" w:lineRule="auto"/>
        <w:ind w:right="-11"/>
      </w:pPr>
      <w:r>
        <w:br w:type="column"/>
      </w:r>
      <w:r>
        <w:rPr>
          <w:color w:val="231F20"/>
          <w:w w:val="115"/>
        </w:rPr>
        <w:t>be applied for including such</w:t>
      </w:r>
    </w:p>
    <w:p w14:paraId="0C16DA08" w14:textId="77777777" w:rsidR="00E047A2" w:rsidRDefault="00000000">
      <w:pPr>
        <w:pStyle w:val="BodyText"/>
        <w:spacing w:before="13"/>
        <w:ind w:right="750"/>
        <w:rPr>
          <w:rFonts w:ascii="Wingdings" w:hAnsi="Wingdings"/>
          <w:sz w:val="24"/>
        </w:rPr>
      </w:pPr>
      <w:r>
        <w:br w:type="column"/>
      </w:r>
      <w:r>
        <w:rPr>
          <w:color w:val="231F20"/>
          <w:w w:val="110"/>
        </w:rPr>
        <w:t xml:space="preserve">applications </w:t>
      </w:r>
      <w:r>
        <w:rPr>
          <w:color w:val="231F20"/>
          <w:spacing w:val="-3"/>
          <w:w w:val="110"/>
        </w:rPr>
        <w:t xml:space="preserve">faster, </w:t>
      </w:r>
      <w:proofErr w:type="gramStart"/>
      <w:r>
        <w:rPr>
          <w:color w:val="231F20"/>
          <w:w w:val="110"/>
        </w:rPr>
        <w:t>cheaper</w:t>
      </w:r>
      <w:proofErr w:type="gramEnd"/>
      <w:r>
        <w:rPr>
          <w:color w:val="231F20"/>
          <w:w w:val="110"/>
        </w:rPr>
        <w:t xml:space="preserve"> and </w:t>
      </w:r>
      <w:r>
        <w:rPr>
          <w:color w:val="231F20"/>
          <w:spacing w:val="-4"/>
          <w:w w:val="110"/>
        </w:rPr>
        <w:t xml:space="preserve">more </w:t>
      </w:r>
      <w:r>
        <w:rPr>
          <w:color w:val="231F20"/>
          <w:w w:val="110"/>
        </w:rPr>
        <w:t xml:space="preserve">likely to succeed. </w:t>
      </w:r>
      <w:r>
        <w:rPr>
          <w:rFonts w:ascii="Wingdings" w:hAnsi="Wingdings"/>
          <w:color w:val="6D6E71"/>
          <w:w w:val="110"/>
          <w:position w:val="-1"/>
          <w:sz w:val="24"/>
        </w:rPr>
        <w:t></w:t>
      </w:r>
    </w:p>
    <w:p w14:paraId="63B7165B" w14:textId="77777777" w:rsidR="00E047A2" w:rsidRDefault="00E047A2">
      <w:pPr>
        <w:rPr>
          <w:rFonts w:ascii="Wingdings" w:hAnsi="Wingdings"/>
          <w:sz w:val="24"/>
        </w:rPr>
        <w:sectPr w:rsidR="00E047A2">
          <w:type w:val="continuous"/>
          <w:pgSz w:w="11910" w:h="16840"/>
          <w:pgMar w:top="0" w:right="0" w:bottom="280" w:left="740" w:header="720" w:footer="720" w:gutter="0"/>
          <w:cols w:num="4" w:space="720" w:equalWidth="0">
            <w:col w:w="1696" w:space="443"/>
            <w:col w:w="2728" w:space="344"/>
            <w:col w:w="1415" w:space="366"/>
            <w:col w:w="4178"/>
          </w:cols>
        </w:sectPr>
      </w:pPr>
    </w:p>
    <w:p w14:paraId="01E19CC5" w14:textId="77777777" w:rsidR="00E047A2" w:rsidRDefault="00000000">
      <w:pPr>
        <w:pStyle w:val="BodyText"/>
        <w:spacing w:line="247" w:lineRule="auto"/>
        <w:ind w:right="6"/>
      </w:pPr>
      <w:r>
        <w:rPr>
          <w:color w:val="231F20"/>
          <w:w w:val="110"/>
        </w:rPr>
        <w:t>obligations these might include. The examples it gives are:</w:t>
      </w:r>
    </w:p>
    <w:p w14:paraId="4747E0C5" w14:textId="77777777" w:rsidR="00E047A2" w:rsidRDefault="00E047A2">
      <w:pPr>
        <w:pStyle w:val="BodyText"/>
        <w:spacing w:before="11"/>
        <w:ind w:left="0"/>
      </w:pPr>
    </w:p>
    <w:p w14:paraId="2B86D00B" w14:textId="77777777" w:rsidR="00E047A2" w:rsidRDefault="00000000">
      <w:pPr>
        <w:ind w:left="393" w:right="108"/>
        <w:rPr>
          <w:rFonts w:ascii="Book Antiqua"/>
          <w:i/>
          <w:sz w:val="20"/>
        </w:rPr>
      </w:pPr>
      <w:r>
        <w:rPr>
          <w:rFonts w:ascii="Book Antiqua"/>
          <w:i/>
          <w:color w:val="231F20"/>
          <w:w w:val="105"/>
          <w:sz w:val="20"/>
        </w:rPr>
        <w:t>if a perpetrator regularly causes ASB in a certain area, he could be</w:t>
      </w:r>
    </w:p>
    <w:p w14:paraId="6DE804BE" w14:textId="77777777" w:rsidR="00E047A2" w:rsidRDefault="00000000">
      <w:pPr>
        <w:spacing w:line="235" w:lineRule="exact"/>
        <w:ind w:left="393"/>
        <w:rPr>
          <w:rFonts w:ascii="Book Antiqua"/>
          <w:i/>
          <w:sz w:val="20"/>
        </w:rPr>
      </w:pPr>
      <w:r>
        <w:rPr>
          <w:rFonts w:ascii="Book Antiqua"/>
          <w:i/>
          <w:color w:val="231F20"/>
          <w:w w:val="105"/>
          <w:sz w:val="20"/>
        </w:rPr>
        <w:t>prohibited from</w:t>
      </w:r>
    </w:p>
    <w:p w14:paraId="790AE98D" w14:textId="77777777" w:rsidR="00E047A2" w:rsidRDefault="00000000">
      <w:pPr>
        <w:pStyle w:val="Heading1"/>
        <w:spacing w:line="244" w:lineRule="auto"/>
        <w:ind w:left="73" w:right="1"/>
      </w:pPr>
      <w:r>
        <w:rPr>
          <w:i w:val="0"/>
        </w:rPr>
        <w:br w:type="column"/>
      </w:r>
      <w:r>
        <w:rPr>
          <w:color w:val="231F20"/>
          <w:w w:val="95"/>
        </w:rPr>
        <w:t xml:space="preserve">to the criminal standard </w:t>
      </w:r>
      <w:r>
        <w:rPr>
          <w:color w:val="231F20"/>
        </w:rPr>
        <w:t>is a high hurdle; its removal will mean</w:t>
      </w:r>
    </w:p>
    <w:p w14:paraId="32AEC23B" w14:textId="77777777" w:rsidR="00E047A2" w:rsidRDefault="00000000">
      <w:pPr>
        <w:spacing w:before="5" w:line="244" w:lineRule="auto"/>
        <w:ind w:left="73"/>
        <w:jc w:val="center"/>
        <w:rPr>
          <w:rFonts w:ascii="Calibri"/>
          <w:i/>
          <w:sz w:val="32"/>
        </w:rPr>
      </w:pPr>
      <w:r>
        <w:rPr>
          <w:rFonts w:ascii="Calibri"/>
          <w:i/>
          <w:color w:val="231F20"/>
          <w:sz w:val="32"/>
        </w:rPr>
        <w:t>that</w:t>
      </w:r>
      <w:r>
        <w:rPr>
          <w:rFonts w:ascii="Calibri"/>
          <w:i/>
          <w:color w:val="231F20"/>
          <w:spacing w:val="-37"/>
          <w:sz w:val="32"/>
        </w:rPr>
        <w:t xml:space="preserve"> </w:t>
      </w:r>
      <w:r>
        <w:rPr>
          <w:rFonts w:ascii="Calibri"/>
          <w:i/>
          <w:color w:val="231F20"/>
          <w:sz w:val="32"/>
        </w:rPr>
        <w:t>CPIs</w:t>
      </w:r>
      <w:r>
        <w:rPr>
          <w:rFonts w:ascii="Calibri"/>
          <w:i/>
          <w:color w:val="231F20"/>
          <w:spacing w:val="-37"/>
          <w:sz w:val="32"/>
        </w:rPr>
        <w:t xml:space="preserve"> </w:t>
      </w:r>
      <w:r>
        <w:rPr>
          <w:rFonts w:ascii="Calibri"/>
          <w:i/>
          <w:color w:val="231F20"/>
          <w:sz w:val="32"/>
        </w:rPr>
        <w:t>will</w:t>
      </w:r>
      <w:r>
        <w:rPr>
          <w:rFonts w:ascii="Calibri"/>
          <w:i/>
          <w:color w:val="231F20"/>
          <w:spacing w:val="-37"/>
          <w:sz w:val="32"/>
        </w:rPr>
        <w:t xml:space="preserve"> </w:t>
      </w:r>
      <w:r>
        <w:rPr>
          <w:rFonts w:ascii="Calibri"/>
          <w:i/>
          <w:color w:val="231F20"/>
          <w:sz w:val="32"/>
        </w:rPr>
        <w:t>be</w:t>
      </w:r>
      <w:r>
        <w:rPr>
          <w:rFonts w:ascii="Calibri"/>
          <w:i/>
          <w:color w:val="231F20"/>
          <w:spacing w:val="-37"/>
          <w:sz w:val="32"/>
        </w:rPr>
        <w:t xml:space="preserve"> </w:t>
      </w:r>
      <w:r>
        <w:rPr>
          <w:rFonts w:ascii="Calibri"/>
          <w:i/>
          <w:color w:val="231F20"/>
          <w:spacing w:val="-3"/>
          <w:sz w:val="32"/>
        </w:rPr>
        <w:t xml:space="preserve">easier </w:t>
      </w:r>
      <w:r>
        <w:rPr>
          <w:rFonts w:ascii="Calibri"/>
          <w:i/>
          <w:color w:val="231F20"/>
          <w:sz w:val="32"/>
        </w:rPr>
        <w:t>to obtain on limited evidence</w:t>
      </w:r>
    </w:p>
    <w:p w14:paraId="755E1C95" w14:textId="77777777" w:rsidR="00E047A2" w:rsidRDefault="00000000">
      <w:pPr>
        <w:pStyle w:val="BodyText"/>
        <w:spacing w:line="247" w:lineRule="auto"/>
      </w:pPr>
      <w:r>
        <w:br w:type="column"/>
      </w:r>
      <w:r>
        <w:rPr>
          <w:color w:val="231F20"/>
          <w:w w:val="105"/>
        </w:rPr>
        <w:t>In relation to adults, probation trusts are the main provider</w:t>
      </w:r>
    </w:p>
    <w:p w14:paraId="367B8773" w14:textId="77777777" w:rsidR="00E047A2" w:rsidRDefault="00000000">
      <w:pPr>
        <w:pStyle w:val="BodyText"/>
        <w:spacing w:before="4" w:line="247" w:lineRule="auto"/>
        <w:ind w:right="155"/>
      </w:pPr>
      <w:r>
        <w:rPr>
          <w:color w:val="231F20"/>
          <w:w w:val="105"/>
        </w:rPr>
        <w:t xml:space="preserve">of </w:t>
      </w:r>
      <w:proofErr w:type="spellStart"/>
      <w:r>
        <w:rPr>
          <w:color w:val="231F20"/>
          <w:spacing w:val="-3"/>
          <w:w w:val="105"/>
        </w:rPr>
        <w:t>programmes</w:t>
      </w:r>
      <w:proofErr w:type="spellEnd"/>
      <w:r>
        <w:rPr>
          <w:color w:val="231F20"/>
          <w:spacing w:val="-3"/>
          <w:w w:val="105"/>
        </w:rPr>
        <w:t xml:space="preserve"> </w:t>
      </w:r>
      <w:r>
        <w:rPr>
          <w:color w:val="231F20"/>
          <w:w w:val="105"/>
        </w:rPr>
        <w:t>of this kind; local authority provision</w:t>
      </w:r>
    </w:p>
    <w:p w14:paraId="3C08226A" w14:textId="77777777" w:rsidR="00E047A2" w:rsidRDefault="00000000">
      <w:pPr>
        <w:pStyle w:val="BodyText"/>
        <w:spacing w:before="4" w:line="247" w:lineRule="auto"/>
        <w:ind w:right="155"/>
      </w:pPr>
      <w:r>
        <w:rPr>
          <w:color w:val="231F20"/>
          <w:w w:val="105"/>
        </w:rPr>
        <w:t xml:space="preserve">for adults is very limited. </w:t>
      </w:r>
      <w:r>
        <w:rPr>
          <w:color w:val="231F20"/>
          <w:spacing w:val="-3"/>
          <w:w w:val="105"/>
        </w:rPr>
        <w:t>However,</w:t>
      </w:r>
    </w:p>
    <w:p w14:paraId="1F1D1BF8" w14:textId="77777777" w:rsidR="00E047A2" w:rsidRDefault="00000000">
      <w:pPr>
        <w:spacing w:before="3" w:line="244" w:lineRule="auto"/>
        <w:ind w:left="110" w:right="904"/>
        <w:rPr>
          <w:rFonts w:ascii="Calibri"/>
          <w:sz w:val="16"/>
        </w:rPr>
      </w:pPr>
      <w:r>
        <w:br w:type="column"/>
      </w:r>
      <w:r>
        <w:rPr>
          <w:rFonts w:ascii="Century Gothic"/>
          <w:b/>
          <w:color w:val="231F20"/>
          <w:sz w:val="16"/>
        </w:rPr>
        <w:t xml:space="preserve">Sally Ireland </w:t>
      </w:r>
      <w:r>
        <w:rPr>
          <w:rFonts w:ascii="Calibri"/>
          <w:color w:val="231F20"/>
          <w:sz w:val="16"/>
        </w:rPr>
        <w:t>is Director of Criminal Justice Policy at</w:t>
      </w:r>
      <w:r>
        <w:rPr>
          <w:rFonts w:ascii="Calibri"/>
          <w:color w:val="231F20"/>
          <w:spacing w:val="17"/>
          <w:sz w:val="16"/>
        </w:rPr>
        <w:t xml:space="preserve"> </w:t>
      </w:r>
      <w:r>
        <w:rPr>
          <w:rFonts w:ascii="Calibri"/>
          <w:color w:val="231F20"/>
          <w:sz w:val="16"/>
        </w:rPr>
        <w:t>JUSTICE</w:t>
      </w:r>
    </w:p>
    <w:p w14:paraId="3AC6BC4E" w14:textId="77777777" w:rsidR="00E047A2" w:rsidRDefault="00000000">
      <w:pPr>
        <w:pStyle w:val="BodyText"/>
        <w:spacing w:line="20" w:lineRule="exact"/>
        <w:ind w:left="100"/>
        <w:rPr>
          <w:rFonts w:ascii="Calibri"/>
          <w:sz w:val="2"/>
        </w:rPr>
      </w:pPr>
      <w:r>
        <w:rPr>
          <w:rFonts w:ascii="Calibri"/>
          <w:sz w:val="2"/>
        </w:rPr>
      </w:r>
      <w:r>
        <w:rPr>
          <w:rFonts w:ascii="Calibri"/>
          <w:sz w:val="2"/>
        </w:rPr>
        <w:pict w14:anchorId="66FA9FAC">
          <v:group id="_x0000_s1027" style="width:160.65pt;height:1pt;mso-position-horizontal-relative:char;mso-position-vertical-relative:line" coordsize="3213,20">
            <v:line id="_x0000_s1028" style="position:absolute" from="0,10" to="3213,10" strokecolor="#6d6e71" strokeweight="1pt"/>
            <w10:anchorlock/>
          </v:group>
        </w:pict>
      </w:r>
    </w:p>
    <w:p w14:paraId="7532D38D" w14:textId="77777777" w:rsidR="00E047A2" w:rsidRDefault="00E047A2">
      <w:pPr>
        <w:pStyle w:val="BodyText"/>
        <w:spacing w:before="4"/>
        <w:ind w:left="0"/>
        <w:rPr>
          <w:rFonts w:ascii="Calibri"/>
          <w:sz w:val="23"/>
        </w:rPr>
      </w:pPr>
    </w:p>
    <w:p w14:paraId="39EAB28C" w14:textId="77777777" w:rsidR="00E047A2" w:rsidRDefault="00000000">
      <w:pPr>
        <w:pStyle w:val="Heading2"/>
        <w:spacing w:before="1"/>
      </w:pPr>
      <w:r>
        <w:rPr>
          <w:color w:val="231F20"/>
          <w:w w:val="105"/>
        </w:rPr>
        <w:t>References</w:t>
      </w:r>
    </w:p>
    <w:p w14:paraId="7BD0751B" w14:textId="77777777" w:rsidR="00E047A2" w:rsidRDefault="00000000">
      <w:pPr>
        <w:spacing w:before="45" w:line="247" w:lineRule="auto"/>
        <w:ind w:left="110" w:right="904"/>
        <w:rPr>
          <w:sz w:val="18"/>
        </w:rPr>
      </w:pPr>
      <w:r>
        <w:rPr>
          <w:color w:val="231F20"/>
          <w:w w:val="110"/>
          <w:sz w:val="18"/>
        </w:rPr>
        <w:t xml:space="preserve">Hoffman, S. and Macdonald, S. </w:t>
      </w:r>
      <w:r>
        <w:rPr>
          <w:color w:val="231F20"/>
          <w:spacing w:val="-3"/>
          <w:w w:val="110"/>
          <w:sz w:val="18"/>
        </w:rPr>
        <w:t xml:space="preserve">(2010), </w:t>
      </w:r>
      <w:r>
        <w:rPr>
          <w:color w:val="231F20"/>
          <w:w w:val="110"/>
          <w:sz w:val="18"/>
        </w:rPr>
        <w:t>‘Should</w:t>
      </w:r>
      <w:r>
        <w:rPr>
          <w:color w:val="231F20"/>
          <w:spacing w:val="-25"/>
          <w:w w:val="110"/>
          <w:sz w:val="18"/>
        </w:rPr>
        <w:t xml:space="preserve"> </w:t>
      </w:r>
      <w:r>
        <w:rPr>
          <w:color w:val="231F20"/>
          <w:w w:val="110"/>
          <w:sz w:val="18"/>
        </w:rPr>
        <w:t>ASBOs</w:t>
      </w:r>
      <w:r>
        <w:rPr>
          <w:color w:val="231F20"/>
          <w:spacing w:val="-19"/>
          <w:w w:val="110"/>
          <w:sz w:val="18"/>
        </w:rPr>
        <w:t xml:space="preserve"> </w:t>
      </w:r>
      <w:r>
        <w:rPr>
          <w:color w:val="231F20"/>
          <w:w w:val="110"/>
          <w:sz w:val="18"/>
        </w:rPr>
        <w:t>be</w:t>
      </w:r>
      <w:r>
        <w:rPr>
          <w:color w:val="231F20"/>
          <w:spacing w:val="-19"/>
          <w:w w:val="110"/>
          <w:sz w:val="18"/>
        </w:rPr>
        <w:t xml:space="preserve"> </w:t>
      </w:r>
      <w:proofErr w:type="spellStart"/>
      <w:r>
        <w:rPr>
          <w:color w:val="231F20"/>
          <w:w w:val="110"/>
          <w:sz w:val="18"/>
        </w:rPr>
        <w:t>civilised</w:t>
      </w:r>
      <w:proofErr w:type="spellEnd"/>
      <w:r>
        <w:rPr>
          <w:color w:val="231F20"/>
          <w:w w:val="110"/>
          <w:sz w:val="18"/>
        </w:rPr>
        <w:t>?’,</w:t>
      </w:r>
      <w:r>
        <w:rPr>
          <w:color w:val="231F20"/>
          <w:spacing w:val="-19"/>
          <w:w w:val="110"/>
          <w:sz w:val="18"/>
        </w:rPr>
        <w:t xml:space="preserve"> </w:t>
      </w:r>
      <w:r>
        <w:rPr>
          <w:rFonts w:ascii="Book Antiqua" w:hAnsi="Book Antiqua"/>
          <w:i/>
          <w:color w:val="231F20"/>
          <w:w w:val="110"/>
          <w:sz w:val="18"/>
        </w:rPr>
        <w:t xml:space="preserve">Criminal </w:t>
      </w:r>
      <w:r>
        <w:rPr>
          <w:rFonts w:ascii="Book Antiqua" w:hAnsi="Book Antiqua"/>
          <w:i/>
          <w:color w:val="231F20"/>
          <w:spacing w:val="-2"/>
          <w:w w:val="110"/>
          <w:sz w:val="18"/>
        </w:rPr>
        <w:t xml:space="preserve">Law </w:t>
      </w:r>
      <w:r>
        <w:rPr>
          <w:rFonts w:ascii="Book Antiqua" w:hAnsi="Book Antiqua"/>
          <w:i/>
          <w:color w:val="231F20"/>
          <w:w w:val="110"/>
          <w:sz w:val="18"/>
        </w:rPr>
        <w:t>Review</w:t>
      </w:r>
      <w:r>
        <w:rPr>
          <w:color w:val="231F20"/>
          <w:w w:val="110"/>
          <w:sz w:val="18"/>
        </w:rPr>
        <w:t>, 6,</w:t>
      </w:r>
      <w:r>
        <w:rPr>
          <w:color w:val="231F20"/>
          <w:spacing w:val="-11"/>
          <w:w w:val="110"/>
          <w:sz w:val="18"/>
        </w:rPr>
        <w:t xml:space="preserve"> </w:t>
      </w:r>
      <w:r>
        <w:rPr>
          <w:color w:val="231F20"/>
          <w:w w:val="110"/>
          <w:sz w:val="18"/>
        </w:rPr>
        <w:t>p.465.</w:t>
      </w:r>
    </w:p>
    <w:p w14:paraId="07297B42" w14:textId="77777777" w:rsidR="00E047A2" w:rsidRDefault="00000000">
      <w:pPr>
        <w:spacing w:before="53" w:line="242" w:lineRule="auto"/>
        <w:ind w:left="110" w:right="904"/>
        <w:rPr>
          <w:sz w:val="18"/>
        </w:rPr>
      </w:pPr>
      <w:r>
        <w:rPr>
          <w:color w:val="231F20"/>
          <w:w w:val="105"/>
          <w:sz w:val="18"/>
        </w:rPr>
        <w:t xml:space="preserve">Home Office (2011), </w:t>
      </w:r>
      <w:r>
        <w:rPr>
          <w:rFonts w:ascii="Book Antiqua"/>
          <w:i/>
          <w:color w:val="231F20"/>
          <w:w w:val="105"/>
          <w:sz w:val="18"/>
        </w:rPr>
        <w:t xml:space="preserve">More </w:t>
      </w:r>
      <w:r>
        <w:rPr>
          <w:rFonts w:ascii="Book Antiqua"/>
          <w:i/>
          <w:color w:val="231F20"/>
          <w:spacing w:val="-3"/>
          <w:w w:val="105"/>
          <w:sz w:val="18"/>
        </w:rPr>
        <w:t xml:space="preserve">Effective </w:t>
      </w:r>
      <w:r>
        <w:rPr>
          <w:rFonts w:ascii="Book Antiqua"/>
          <w:i/>
          <w:color w:val="231F20"/>
          <w:w w:val="105"/>
          <w:sz w:val="18"/>
        </w:rPr>
        <w:t>Responses to Antisocial Behaviour</w:t>
      </w:r>
      <w:r>
        <w:rPr>
          <w:color w:val="231F20"/>
          <w:w w:val="105"/>
          <w:sz w:val="18"/>
        </w:rPr>
        <w:t>, London: Home</w:t>
      </w:r>
      <w:r>
        <w:rPr>
          <w:color w:val="231F20"/>
          <w:spacing w:val="-2"/>
          <w:w w:val="105"/>
          <w:sz w:val="18"/>
        </w:rPr>
        <w:t xml:space="preserve"> </w:t>
      </w:r>
      <w:r>
        <w:rPr>
          <w:color w:val="231F20"/>
          <w:w w:val="105"/>
          <w:sz w:val="18"/>
        </w:rPr>
        <w:t>Office.</w:t>
      </w:r>
    </w:p>
    <w:p w14:paraId="5D6A3C8F" w14:textId="77777777" w:rsidR="00E047A2" w:rsidRDefault="00000000">
      <w:pPr>
        <w:spacing w:before="66" w:line="153" w:lineRule="exact"/>
        <w:ind w:left="110"/>
        <w:rPr>
          <w:sz w:val="18"/>
        </w:rPr>
      </w:pPr>
      <w:r>
        <w:rPr>
          <w:color w:val="231F20"/>
          <w:w w:val="110"/>
          <w:sz w:val="18"/>
        </w:rPr>
        <w:t>Mair, G., Cross, N. and Taylor, S. (2008),</w:t>
      </w:r>
    </w:p>
    <w:p w14:paraId="4FA232E2" w14:textId="77777777" w:rsidR="00E047A2" w:rsidRDefault="00E047A2">
      <w:pPr>
        <w:spacing w:line="153" w:lineRule="exact"/>
        <w:rPr>
          <w:sz w:val="18"/>
        </w:rPr>
        <w:sectPr w:rsidR="00E047A2">
          <w:type w:val="continuous"/>
          <w:pgSz w:w="11910" w:h="16840"/>
          <w:pgMar w:top="0" w:right="0" w:bottom="280" w:left="740" w:header="720" w:footer="720" w:gutter="0"/>
          <w:cols w:num="4" w:space="720" w:equalWidth="0">
            <w:col w:w="1781" w:space="199"/>
            <w:col w:w="3045" w:space="186"/>
            <w:col w:w="1607" w:space="174"/>
            <w:col w:w="4178"/>
          </w:cols>
        </w:sectPr>
      </w:pPr>
    </w:p>
    <w:p w14:paraId="1C86E863" w14:textId="77777777" w:rsidR="00E047A2" w:rsidRDefault="00000000">
      <w:pPr>
        <w:ind w:left="393"/>
        <w:rPr>
          <w:rFonts w:ascii="Book Antiqua"/>
          <w:i/>
          <w:sz w:val="20"/>
        </w:rPr>
      </w:pPr>
      <w:r>
        <w:rPr>
          <w:rFonts w:ascii="Book Antiqua"/>
          <w:i/>
          <w:color w:val="231F20"/>
          <w:w w:val="105"/>
          <w:sz w:val="20"/>
        </w:rPr>
        <w:t>returning to it and required to undertake an anger management course, or if a dog owner was persistently demonstrating a lack of control of an aggressive dog he could be prohibited from walking</w:t>
      </w:r>
    </w:p>
    <w:p w14:paraId="7E8DE119" w14:textId="77777777" w:rsidR="00E047A2" w:rsidRDefault="00000000">
      <w:pPr>
        <w:pStyle w:val="BodyText"/>
        <w:spacing w:line="247" w:lineRule="auto"/>
        <w:ind w:left="279" w:right="335"/>
      </w:pPr>
      <w:r>
        <w:br w:type="column"/>
      </w:r>
      <w:r>
        <w:rPr>
          <w:color w:val="231F20"/>
          <w:w w:val="110"/>
        </w:rPr>
        <w:t>probation will not be involved in applying for CPIs. Further, experience with community sentences</w:t>
      </w:r>
      <w:r>
        <w:rPr>
          <w:color w:val="231F20"/>
          <w:spacing w:val="-27"/>
          <w:w w:val="110"/>
        </w:rPr>
        <w:t xml:space="preserve"> </w:t>
      </w:r>
      <w:r>
        <w:rPr>
          <w:color w:val="231F20"/>
          <w:w w:val="110"/>
        </w:rPr>
        <w:t>in</w:t>
      </w:r>
      <w:r>
        <w:rPr>
          <w:color w:val="231F20"/>
          <w:spacing w:val="-27"/>
          <w:w w:val="110"/>
        </w:rPr>
        <w:t xml:space="preserve"> </w:t>
      </w:r>
      <w:r>
        <w:rPr>
          <w:color w:val="231F20"/>
          <w:w w:val="110"/>
        </w:rPr>
        <w:t>the</w:t>
      </w:r>
      <w:r>
        <w:rPr>
          <w:color w:val="231F20"/>
          <w:spacing w:val="-27"/>
          <w:w w:val="110"/>
        </w:rPr>
        <w:t xml:space="preserve"> </w:t>
      </w:r>
      <w:r>
        <w:rPr>
          <w:color w:val="231F20"/>
          <w:w w:val="110"/>
        </w:rPr>
        <w:t>criminal</w:t>
      </w:r>
      <w:r>
        <w:rPr>
          <w:color w:val="231F20"/>
          <w:spacing w:val="-27"/>
          <w:w w:val="110"/>
        </w:rPr>
        <w:t xml:space="preserve"> </w:t>
      </w:r>
      <w:r>
        <w:rPr>
          <w:color w:val="231F20"/>
          <w:spacing w:val="-3"/>
          <w:w w:val="110"/>
        </w:rPr>
        <w:t>courts</w:t>
      </w:r>
    </w:p>
    <w:p w14:paraId="240172B2" w14:textId="77777777" w:rsidR="00E047A2" w:rsidRDefault="00000000">
      <w:pPr>
        <w:pStyle w:val="BodyText"/>
        <w:spacing w:before="4" w:line="247" w:lineRule="auto"/>
        <w:ind w:left="279"/>
      </w:pPr>
      <w:r>
        <w:rPr>
          <w:color w:val="231F20"/>
          <w:w w:val="105"/>
        </w:rPr>
        <w:t xml:space="preserve">has shown that many </w:t>
      </w:r>
      <w:proofErr w:type="spellStart"/>
      <w:r>
        <w:rPr>
          <w:color w:val="231F20"/>
          <w:w w:val="105"/>
        </w:rPr>
        <w:t>programmes</w:t>
      </w:r>
      <w:proofErr w:type="spellEnd"/>
      <w:r>
        <w:rPr>
          <w:color w:val="231F20"/>
          <w:w w:val="105"/>
        </w:rPr>
        <w:t xml:space="preserve"> theoretically available to sentencers</w:t>
      </w:r>
    </w:p>
    <w:p w14:paraId="6699DED1" w14:textId="77777777" w:rsidR="00E047A2" w:rsidRDefault="00000000">
      <w:pPr>
        <w:spacing w:before="68" w:line="242" w:lineRule="auto"/>
        <w:ind w:left="388" w:right="906"/>
        <w:rPr>
          <w:sz w:val="18"/>
        </w:rPr>
      </w:pPr>
      <w:r>
        <w:br w:type="column"/>
      </w:r>
      <w:r>
        <w:rPr>
          <w:rFonts w:ascii="Book Antiqua"/>
          <w:i/>
          <w:color w:val="231F20"/>
          <w:w w:val="105"/>
          <w:sz w:val="18"/>
        </w:rPr>
        <w:t xml:space="preserve">The Community Order and the Suspended Sentence Order: </w:t>
      </w:r>
      <w:proofErr w:type="gramStart"/>
      <w:r>
        <w:rPr>
          <w:rFonts w:ascii="Book Antiqua"/>
          <w:i/>
          <w:color w:val="231F20"/>
          <w:w w:val="105"/>
          <w:sz w:val="18"/>
        </w:rPr>
        <w:t>the</w:t>
      </w:r>
      <w:proofErr w:type="gramEnd"/>
      <w:r>
        <w:rPr>
          <w:rFonts w:ascii="Book Antiqua"/>
          <w:i/>
          <w:color w:val="231F20"/>
          <w:w w:val="105"/>
          <w:sz w:val="18"/>
        </w:rPr>
        <w:t xml:space="preserve"> Views and Attitudes of Sentencers</w:t>
      </w:r>
      <w:r>
        <w:rPr>
          <w:color w:val="231F20"/>
          <w:w w:val="105"/>
          <w:sz w:val="18"/>
        </w:rPr>
        <w:t>, London: Centre for Crime and Justice Studies.</w:t>
      </w:r>
    </w:p>
    <w:p w14:paraId="3805F50F" w14:textId="77777777" w:rsidR="00E047A2" w:rsidRDefault="00000000">
      <w:pPr>
        <w:spacing w:before="67" w:line="242" w:lineRule="auto"/>
        <w:ind w:left="388" w:right="906"/>
        <w:rPr>
          <w:sz w:val="18"/>
        </w:rPr>
      </w:pPr>
      <w:r>
        <w:rPr>
          <w:color w:val="231F20"/>
          <w:w w:val="105"/>
          <w:sz w:val="18"/>
        </w:rPr>
        <w:t xml:space="preserve">May, T. (2010), </w:t>
      </w:r>
      <w:r>
        <w:rPr>
          <w:rFonts w:ascii="Book Antiqua"/>
          <w:i/>
          <w:color w:val="231F20"/>
          <w:w w:val="105"/>
          <w:sz w:val="18"/>
        </w:rPr>
        <w:t>Moving Beyond the ASBO</w:t>
      </w:r>
      <w:r>
        <w:rPr>
          <w:color w:val="231F20"/>
          <w:w w:val="105"/>
          <w:sz w:val="18"/>
        </w:rPr>
        <w:t>, London: Home Office.</w:t>
      </w:r>
    </w:p>
    <w:p w14:paraId="579700F6" w14:textId="77777777" w:rsidR="00E047A2" w:rsidRDefault="00E047A2">
      <w:pPr>
        <w:spacing w:line="242" w:lineRule="auto"/>
        <w:rPr>
          <w:sz w:val="18"/>
        </w:rPr>
        <w:sectPr w:rsidR="00E047A2">
          <w:type w:val="continuous"/>
          <w:pgSz w:w="11910" w:h="16840"/>
          <w:pgMar w:top="0" w:right="0" w:bottom="280" w:left="740" w:header="720" w:footer="720" w:gutter="0"/>
          <w:cols w:num="3" w:space="720" w:equalWidth="0">
            <w:col w:w="3287" w:space="40"/>
            <w:col w:w="3349" w:space="39"/>
            <w:col w:w="4455"/>
          </w:cols>
        </w:sectPr>
      </w:pPr>
    </w:p>
    <w:p w14:paraId="570CC644" w14:textId="77777777" w:rsidR="00E047A2" w:rsidRDefault="00E047A2">
      <w:pPr>
        <w:pStyle w:val="BodyText"/>
        <w:ind w:left="0"/>
        <w:rPr>
          <w:sz w:val="26"/>
        </w:rPr>
      </w:pPr>
    </w:p>
    <w:p w14:paraId="201F03EF" w14:textId="77777777" w:rsidR="00E047A2" w:rsidRDefault="00000000">
      <w:pPr>
        <w:tabs>
          <w:tab w:val="right" w:pos="10315"/>
        </w:tabs>
        <w:spacing w:before="104"/>
        <w:ind w:left="110"/>
        <w:rPr>
          <w:rFonts w:ascii="Cambria"/>
          <w:b/>
          <w:sz w:val="18"/>
        </w:rPr>
      </w:pPr>
      <w:r>
        <w:pict w14:anchorId="37CC7383">
          <v:line id="_x0000_s1026" style="position:absolute;left:0;text-align:left;z-index:251669504;mso-position-horizontal-relative:page" from="42.5pt,5.95pt" to="552pt,5.95pt" strokecolor="#231f20" strokeweight=".5pt">
            <w10:wrap anchorx="page"/>
          </v:line>
        </w:pict>
      </w:r>
      <w:proofErr w:type="spellStart"/>
      <w:r>
        <w:rPr>
          <w:rFonts w:ascii="Cambria"/>
          <w:b/>
          <w:color w:val="231F20"/>
          <w:sz w:val="28"/>
        </w:rPr>
        <w:t>cjm</w:t>
      </w:r>
      <w:proofErr w:type="spellEnd"/>
      <w:r>
        <w:rPr>
          <w:rFonts w:ascii="Cambria"/>
          <w:b/>
          <w:color w:val="231F20"/>
          <w:sz w:val="28"/>
        </w:rPr>
        <w:t xml:space="preserve"> </w:t>
      </w:r>
      <w:r>
        <w:rPr>
          <w:rFonts w:ascii="Happy Monkey"/>
          <w:color w:val="231F20"/>
          <w:sz w:val="20"/>
        </w:rPr>
        <w:t>no. 86</w:t>
      </w:r>
      <w:r>
        <w:rPr>
          <w:rFonts w:ascii="Happy Monkey"/>
          <w:color w:val="231F20"/>
          <w:spacing w:val="34"/>
          <w:sz w:val="20"/>
        </w:rPr>
        <w:t xml:space="preserve"> </w:t>
      </w:r>
      <w:r>
        <w:rPr>
          <w:rFonts w:ascii="Happy Monkey"/>
          <w:color w:val="231F20"/>
          <w:sz w:val="20"/>
        </w:rPr>
        <w:t>December</w:t>
      </w:r>
      <w:r>
        <w:rPr>
          <w:rFonts w:ascii="Happy Monkey"/>
          <w:color w:val="231F20"/>
          <w:spacing w:val="11"/>
          <w:sz w:val="20"/>
        </w:rPr>
        <w:t xml:space="preserve"> </w:t>
      </w:r>
      <w:r>
        <w:rPr>
          <w:rFonts w:ascii="Happy Monkey"/>
          <w:color w:val="231F20"/>
          <w:sz w:val="20"/>
        </w:rPr>
        <w:t>2011</w:t>
      </w:r>
      <w:r>
        <w:rPr>
          <w:rFonts w:ascii="Happy Monkey"/>
          <w:color w:val="231F20"/>
          <w:sz w:val="20"/>
        </w:rPr>
        <w:tab/>
      </w:r>
      <w:r>
        <w:rPr>
          <w:rFonts w:ascii="Cambria"/>
          <w:b/>
          <w:color w:val="231F20"/>
          <w:sz w:val="18"/>
        </w:rPr>
        <w:t>27</w:t>
      </w:r>
    </w:p>
    <w:sectPr w:rsidR="00E047A2">
      <w:type w:val="continuous"/>
      <w:pgSz w:w="11910" w:h="16840"/>
      <w:pgMar w:top="0" w:right="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Happy Monkey">
    <w:panose1 w:val="02000500000000020004"/>
    <w:charset w:val="00"/>
    <w:family w:val="auto"/>
    <w:pitch w:val="variable"/>
    <w:sig w:usb0="8000002F" w:usb1="1000000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E047A2"/>
    <w:rsid w:val="00AD4C10"/>
    <w:rsid w:val="00E047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14:docId w14:val="7EC3865D"/>
  <w15:docId w15:val="{4F2D21B4-0B7A-4517-8AC6-FD30BF54C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20"/>
      <w:ind w:left="110"/>
      <w:jc w:val="center"/>
      <w:outlineLvl w:val="0"/>
    </w:pPr>
    <w:rPr>
      <w:rFonts w:ascii="Calibri" w:eastAsia="Calibri" w:hAnsi="Calibri" w:cs="Calibri"/>
      <w:i/>
      <w:sz w:val="32"/>
      <w:szCs w:val="32"/>
    </w:rPr>
  </w:style>
  <w:style w:type="paragraph" w:styleId="Heading2">
    <w:name w:val="heading 2"/>
    <w:basedOn w:val="Normal"/>
    <w:uiPriority w:val="9"/>
    <w:unhideWhenUsed/>
    <w:qFormat/>
    <w:pPr>
      <w:spacing w:before="28"/>
      <w:ind w:left="110"/>
      <w:outlineLvl w:val="1"/>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1556</Words>
  <Characters>8875</Characters>
  <Application>Microsoft Office Word</Application>
  <DocSecurity>0</DocSecurity>
  <Lines>73</Lines>
  <Paragraphs>20</Paragraphs>
  <ScaleCrop>false</ScaleCrop>
  <Company/>
  <LinksUpToDate>false</LinksUpToDate>
  <CharactersWithSpaces>10411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 Cordell</cp:lastModifiedBy>
  <cp:revision>2</cp:revision>
  <dcterms:created xsi:type="dcterms:W3CDTF">2022-11-02T16:42:00Z</dcterms:created>
  <dcterms:modified xsi:type="dcterms:W3CDTF">2022-11-02T16:42:00Z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2011-12-07T00:00:00Z</vt:filetime>
  </property>
  <property fmtid="{D5CDD505-2E9C-101B-9397-08002B2CF9AE}" pid="3" name="Creator">
    <vt:lpwstr>Adobe InDesign CS4 (6.0.5)</vt:lpwstr>
  </property>
  <property fmtid="{D5CDD505-2E9C-101B-9397-08002B2CF9AE}" pid="4" name="LastSaved">
    <vt:filetime>2022-11-02T00:00:00Z</vt:filetime>
  </property>
</Properties>
</file>