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1235C" w14:textId="77777777" w:rsidR="002B1BD0" w:rsidRDefault="002B1BD0" w:rsidP="002B1BD0">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2B1BD0" w14:paraId="26BB9403" w14:textId="77777777" w:rsidTr="008B53D0">
        <w:tc>
          <w:tcPr>
            <w:tcW w:w="12293" w:type="dxa"/>
            <w:tcBorders>
              <w:top w:val="single" w:sz="4" w:space="0" w:color="auto"/>
              <w:left w:val="single" w:sz="4" w:space="0" w:color="auto"/>
              <w:bottom w:val="single" w:sz="4" w:space="0" w:color="auto"/>
              <w:right w:val="single" w:sz="4" w:space="0" w:color="auto"/>
            </w:tcBorders>
          </w:tcPr>
          <w:p w14:paraId="72C66D37" w14:textId="77777777" w:rsidR="002B1BD0" w:rsidRDefault="002B1BD0" w:rsidP="008B53D0">
            <w:pPr>
              <w:spacing w:line="240" w:lineRule="auto"/>
              <w:rPr>
                <w:rFonts w:cs="Times New Roman"/>
                <w:szCs w:val="24"/>
              </w:rPr>
            </w:pPr>
            <w:r>
              <w:rPr>
                <w:rFonts w:eastAsia="Times New Roman" w:cs="Times New Roman"/>
                <w:b/>
                <w:bCs/>
                <w:szCs w:val="24"/>
                <w:u w:val="single"/>
                <w:lang w:eastAsia="en-GB"/>
              </w:rPr>
              <w:t>European Convention on Human Rights</w:t>
            </w:r>
          </w:p>
          <w:p w14:paraId="4158CD4B" w14:textId="77777777" w:rsidR="002B1BD0" w:rsidRDefault="002B1BD0" w:rsidP="008B53D0">
            <w:pPr>
              <w:shd w:val="clear" w:color="auto" w:fill="FFFFFF"/>
              <w:spacing w:line="240" w:lineRule="auto"/>
              <w:rPr>
                <w:rFonts w:eastAsia="Times New Roman" w:cs="Times New Roman"/>
                <w:szCs w:val="24"/>
                <w:lang w:eastAsia="en-GB"/>
              </w:rPr>
            </w:pPr>
            <w:r>
              <w:rPr>
                <w:rFonts w:eastAsia="Times New Roman" w:cs="Times New Roman"/>
                <w:b/>
                <w:bCs/>
                <w:szCs w:val="24"/>
                <w:u w:val="single"/>
                <w:lang w:eastAsia="en-GB"/>
              </w:rPr>
              <w:t>ECHR</w:t>
            </w:r>
            <w:r>
              <w:rPr>
                <w:rFonts w:eastAsia="Times New Roman" w:cs="Times New Roman"/>
                <w:b/>
                <w:bCs/>
                <w:szCs w:val="24"/>
                <w:lang w:eastAsia="en-GB"/>
              </w:rPr>
              <w:t xml:space="preserve"> - </w:t>
            </w:r>
            <w:r>
              <w:rPr>
                <w:rFonts w:eastAsia="Times New Roman" w:cs="Times New Roman"/>
                <w:szCs w:val="24"/>
                <w:lang w:eastAsia="en-GB"/>
              </w:rPr>
              <w:t>Procedural and institutional protocols</w:t>
            </w:r>
          </w:p>
          <w:p w14:paraId="06C888E5" w14:textId="77777777" w:rsidR="002B1BD0" w:rsidRDefault="002B1BD0" w:rsidP="008B53D0">
            <w:pPr>
              <w:shd w:val="clear" w:color="auto" w:fill="FFFFFF"/>
              <w:spacing w:line="240" w:lineRule="auto"/>
              <w:rPr>
                <w:rFonts w:eastAsia="Times New Roman" w:cs="Times New Roman"/>
                <w:b/>
                <w:bCs/>
                <w:szCs w:val="24"/>
                <w:lang w:eastAsia="en-GB"/>
              </w:rPr>
            </w:pPr>
          </w:p>
          <w:p w14:paraId="56387A14" w14:textId="77777777" w:rsidR="002B1BD0" w:rsidRDefault="002B1BD0" w:rsidP="008B53D0">
            <w:pPr>
              <w:spacing w:line="240" w:lineRule="auto"/>
              <w:rPr>
                <w:rFonts w:cs="Times New Roman"/>
                <w:szCs w:val="24"/>
              </w:rPr>
            </w:pPr>
            <w:r>
              <w:rPr>
                <w:rFonts w:eastAsia="Times New Roman" w:cs="Times New Roman"/>
                <w:b/>
                <w:bCs/>
                <w:szCs w:val="24"/>
                <w:u w:val="single"/>
                <w:lang w:eastAsia="en-GB"/>
              </w:rPr>
              <w:t>European Convention on Human Rights</w:t>
            </w:r>
          </w:p>
          <w:p w14:paraId="4FB036A5" w14:textId="77777777" w:rsidR="002B1BD0" w:rsidRDefault="002B1BD0" w:rsidP="008B53D0">
            <w:pPr>
              <w:shd w:val="clear" w:color="auto" w:fill="FFFFFF"/>
              <w:spacing w:line="240" w:lineRule="auto"/>
              <w:rPr>
                <w:rFonts w:eastAsia="Times New Roman" w:cs="Times New Roman"/>
                <w:b/>
                <w:bCs/>
                <w:szCs w:val="24"/>
                <w:lang w:eastAsia="en-GB"/>
              </w:rPr>
            </w:pPr>
            <w:r>
              <w:rPr>
                <w:rFonts w:eastAsia="Times New Roman" w:cs="Times New Roman"/>
                <w:b/>
                <w:bCs/>
                <w:szCs w:val="24"/>
                <w:u w:val="single"/>
                <w:lang w:eastAsia="en-GB"/>
              </w:rPr>
              <w:t>ECHR</w:t>
            </w:r>
            <w:r>
              <w:rPr>
                <w:rFonts w:eastAsia="Times New Roman" w:cs="Times New Roman"/>
                <w:b/>
                <w:bCs/>
                <w:szCs w:val="24"/>
                <w:lang w:eastAsia="en-GB"/>
              </w:rPr>
              <w:t xml:space="preserve"> - </w:t>
            </w:r>
            <w:r>
              <w:rPr>
                <w:rFonts w:eastAsia="Times New Roman" w:cs="Times New Roman"/>
                <w:szCs w:val="24"/>
                <w:lang w:eastAsia="en-GB"/>
              </w:rPr>
              <w:t>Protocol 14:</w:t>
            </w:r>
          </w:p>
          <w:p w14:paraId="362D2891" w14:textId="77777777" w:rsidR="002B1BD0" w:rsidRDefault="002B1BD0" w:rsidP="008B53D0">
            <w:pPr>
              <w:shd w:val="clear" w:color="auto" w:fill="FFFFFF"/>
              <w:spacing w:line="240" w:lineRule="auto"/>
              <w:rPr>
                <w:rFonts w:eastAsia="Times New Roman" w:cs="Times New Roman"/>
                <w:color w:val="202122"/>
                <w:szCs w:val="24"/>
                <w:lang w:eastAsia="en-GB"/>
              </w:rPr>
            </w:pPr>
          </w:p>
          <w:p w14:paraId="7D7A073B" w14:textId="77777777" w:rsidR="002B1BD0" w:rsidRDefault="002B1BD0" w:rsidP="008B53D0">
            <w:pPr>
              <w:spacing w:line="240" w:lineRule="auto"/>
              <w:rPr>
                <w:b/>
                <w:bCs/>
                <w:u w:val="single"/>
              </w:rPr>
            </w:pPr>
            <w:r>
              <w:rPr>
                <w:b/>
                <w:bCs/>
                <w:u w:val="single"/>
              </w:rPr>
              <w:t>Protocol 14</w:t>
            </w:r>
          </w:p>
          <w:p w14:paraId="4D746A5A" w14:textId="77777777" w:rsidR="002B1BD0" w:rsidRDefault="002B1BD0" w:rsidP="008B53D0">
            <w:pPr>
              <w:spacing w:line="240" w:lineRule="auto"/>
            </w:pPr>
            <w:r>
              <w:t>Main article: Protocol 14 to the European Convention on Human Rights</w:t>
            </w:r>
          </w:p>
          <w:p w14:paraId="0620EBB8" w14:textId="77777777" w:rsidR="002B1BD0" w:rsidRDefault="002B1BD0" w:rsidP="008B53D0">
            <w:pPr>
              <w:spacing w:line="240" w:lineRule="auto"/>
            </w:pPr>
            <w:r>
              <w:t>Protocol 14 follows on from Protocol 11 in proposing to further improve the efficiency of the Court. It seeks to "filter" out cases that have less chance of succeeding along with those that are broadly similar to cases brought previously against the same member state. Furthermore, a case will not be considered admissible where an applicant has not suffered a "significant disadvantage". This latter ground can only be used when an examination of the application on the merits is not considered necessary and where the subject-matter of the application had already been considered by a national court.</w:t>
            </w:r>
          </w:p>
          <w:p w14:paraId="37FFB056" w14:textId="77777777" w:rsidR="002B1BD0" w:rsidRDefault="002B1BD0" w:rsidP="008B53D0">
            <w:pPr>
              <w:spacing w:line="240" w:lineRule="auto"/>
              <w:rPr>
                <w:lang w:eastAsia="en-GB"/>
              </w:rPr>
            </w:pPr>
            <w:r>
              <w:t>A new mechanism was introduced by Protocol 14 to assist enforcement of judgements by the Committee of Ministers. The Committee can ask the Court for an interpretation of a judgement and can even bring a member state before the Court for non-compliance of a previous judgement against that state. Protocol 14 also allows for European Union accession to the Convention. The protocol</w:t>
            </w:r>
            <w:r>
              <w:rPr>
                <w:lang w:eastAsia="en-GB"/>
              </w:rPr>
              <w:t xml:space="preserve"> has been ratified by every Council of Europe member state, Russia being last in February 2010. It entered into force on 1 June 2010. </w:t>
            </w:r>
          </w:p>
          <w:p w14:paraId="671C9973" w14:textId="77777777" w:rsidR="002B1BD0" w:rsidRDefault="002B1BD0" w:rsidP="008B53D0">
            <w:pPr>
              <w:shd w:val="clear" w:color="auto" w:fill="FFFFFF"/>
              <w:spacing w:line="240" w:lineRule="auto"/>
              <w:rPr>
                <w:rFonts w:eastAsia="Times New Roman" w:cs="Times New Roman"/>
                <w:color w:val="202122"/>
                <w:szCs w:val="24"/>
                <w:lang w:eastAsia="en-GB"/>
              </w:rPr>
            </w:pPr>
            <w:r>
              <w:rPr>
                <w:rFonts w:eastAsia="Times New Roman" w:cs="Times New Roman"/>
                <w:color w:val="202122"/>
                <w:szCs w:val="24"/>
                <w:lang w:eastAsia="en-GB"/>
              </w:rPr>
              <w:t>A provisional </w:t>
            </w:r>
            <w:r>
              <w:rPr>
                <w:rFonts w:eastAsia="Times New Roman" w:cs="Times New Roman"/>
                <w:b/>
                <w:bCs/>
                <w:color w:val="202122"/>
                <w:szCs w:val="24"/>
                <w:lang w:eastAsia="en-GB"/>
              </w:rPr>
              <w:t>Protocol 14bis</w:t>
            </w:r>
            <w:r>
              <w:rPr>
                <w:rFonts w:eastAsia="Times New Roman" w:cs="Times New Roman"/>
                <w:color w:val="202122"/>
                <w:szCs w:val="24"/>
                <w:lang w:eastAsia="en-GB"/>
              </w:rPr>
              <w:t> had been opened for signature in 2009. Pending the ratification of Protocol 14 itself, 14bis was devised to allow the Court to implement revised procedures in respect of the states which have ratified it. It allowed single judges to reject manifestly inadmissible applications made against the states that have ratified the protocol. It also extended the competence of three-judge chambers to declare applications made against those states admissible and to decide on their merits where there already is a well-established case law of the Court. Now that all Council of Europe member states have ratified Protocol 14, Protocol 14bis has lost its </w:t>
            </w:r>
            <w:r>
              <w:rPr>
                <w:rFonts w:eastAsia="Times New Roman" w:cs="Times New Roman"/>
                <w:i/>
                <w:iCs/>
                <w:color w:val="202122"/>
                <w:szCs w:val="24"/>
                <w:lang w:eastAsia="en-GB"/>
              </w:rPr>
              <w:t>raison d'être</w:t>
            </w:r>
            <w:r>
              <w:rPr>
                <w:rFonts w:eastAsia="Times New Roman" w:cs="Times New Roman"/>
                <w:color w:val="202122"/>
                <w:szCs w:val="24"/>
                <w:lang w:eastAsia="en-GB"/>
              </w:rPr>
              <w:t> and according to its own terms ceased to have any effect when Protocol 14 entered into force on 1 June 2010.</w:t>
            </w:r>
          </w:p>
          <w:p w14:paraId="4F37B22F" w14:textId="77777777" w:rsidR="002B1BD0" w:rsidRDefault="002B1BD0" w:rsidP="008B53D0">
            <w:pPr>
              <w:spacing w:line="240" w:lineRule="auto"/>
              <w:rPr>
                <w:rFonts w:cs="Times New Roman"/>
                <w:szCs w:val="24"/>
              </w:rPr>
            </w:pPr>
          </w:p>
        </w:tc>
      </w:tr>
    </w:tbl>
    <w:p w14:paraId="3A6B7F7F"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92"/>
    <w:rsid w:val="001E1A1C"/>
    <w:rsid w:val="002B1BD0"/>
    <w:rsid w:val="004633B0"/>
    <w:rsid w:val="00527792"/>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8AC7"/>
  <w15:chartTrackingRefBased/>
  <w15:docId w15:val="{AA93C185-1F99-466D-A3DC-50F52DBA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D0"/>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B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2021-03-13T00:52:00Z</dcterms:created>
  <dcterms:modified xsi:type="dcterms:W3CDTF">2021-03-13T00:52:00Z</dcterms:modified>
</cp:coreProperties>
</file>